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606" w:rsidRDefault="00564606" w:rsidP="00564606">
      <w:pPr>
        <w:shd w:val="clear" w:color="auto" w:fill="FFFFFF"/>
        <w:ind w:left="360"/>
        <w:jc w:val="both"/>
      </w:pPr>
      <w:r>
        <w:rPr>
          <w:rStyle w:val="Robust"/>
        </w:rPr>
        <w:fldChar w:fldCharType="begin"/>
      </w:r>
      <w:r>
        <w:rPr>
          <w:rStyle w:val="Robust"/>
        </w:rPr>
        <w:instrText xml:space="preserve"> HYPERLINK "http://www.onrc.ro/documente/rof/2014/ORDIN%20nr%201082-C%20din%2020%20martie%202014.doc" \t "_blank" </w:instrText>
      </w:r>
      <w:r>
        <w:rPr>
          <w:rStyle w:val="Robust"/>
        </w:rPr>
        <w:fldChar w:fldCharType="separate"/>
      </w:r>
      <w:r>
        <w:rPr>
          <w:rStyle w:val="Hyperlink"/>
          <w:b/>
          <w:bCs/>
        </w:rPr>
        <w:t>Ordinul ministrului jus</w:t>
      </w:r>
      <w:r>
        <w:rPr>
          <w:rStyle w:val="Hyperlink"/>
          <w:b/>
          <w:bCs/>
        </w:rPr>
        <w:t>t</w:t>
      </w:r>
      <w:r>
        <w:rPr>
          <w:rStyle w:val="Hyperlink"/>
          <w:b/>
          <w:bCs/>
        </w:rPr>
        <w:t>iţiei nr. 1082/C/2014</w:t>
      </w:r>
      <w:r>
        <w:rPr>
          <w:rStyle w:val="Robust"/>
        </w:rPr>
        <w:fldChar w:fldCharType="end"/>
      </w:r>
      <w:r>
        <w:rPr>
          <w:rStyle w:val="Robust"/>
        </w:rPr>
        <w:t> </w:t>
      </w:r>
      <w:r>
        <w:t>pentru aprobarea Regulamentului de organizare şi funcţionare a Oficiului Naţional al Registrului Comerţului şi a oficiilor registrului comerţului de pe lângă tribunale.</w:t>
      </w:r>
    </w:p>
    <w:p w:rsidR="00746DFF" w:rsidRPr="00746DFF" w:rsidRDefault="00746DFF" w:rsidP="00564606">
      <w:pPr>
        <w:shd w:val="clear" w:color="auto" w:fill="FFFFFF"/>
        <w:ind w:left="360"/>
        <w:jc w:val="both"/>
        <w:rPr>
          <w:rFonts w:ascii="Arial Narrow" w:eastAsia="Times New Roman" w:hAnsi="Arial Narrow"/>
          <w:lang w:eastAsia="ro-RO"/>
        </w:rPr>
      </w:pPr>
      <w:r w:rsidRPr="00746DFF">
        <w:rPr>
          <w:rFonts w:ascii="Arial Narrow" w:eastAsia="Times New Roman" w:hAnsi="Arial Narrow"/>
          <w:b/>
          <w:bCs/>
          <w:lang w:eastAsia="ro-RO"/>
        </w:rPr>
        <w:t>SECŢIUNEA 2:</w:t>
      </w:r>
      <w:r w:rsidRPr="00746DFF">
        <w:rPr>
          <w:rFonts w:ascii="Arial Narrow" w:eastAsia="Times New Roman" w:hAnsi="Arial Narrow"/>
          <w:lang w:eastAsia="ro-RO"/>
        </w:rPr>
        <w:t xml:space="preserve"> </w:t>
      </w:r>
      <w:r w:rsidRPr="00746DFF">
        <w:rPr>
          <w:rFonts w:ascii="Arial Narrow" w:eastAsia="Times New Roman" w:hAnsi="Arial Narrow"/>
          <w:b/>
          <w:bCs/>
          <w:lang w:eastAsia="ro-RO"/>
        </w:rPr>
        <w:t>Conducerea Oficiului Naţional al Registrului Comerţului</w:t>
      </w:r>
    </w:p>
    <w:p w:rsidR="00746DFF" w:rsidRPr="00746DFF" w:rsidRDefault="00746DFF" w:rsidP="00564606">
      <w:pPr>
        <w:shd w:val="clear" w:color="auto" w:fill="FFFFFF"/>
        <w:ind w:left="360"/>
        <w:jc w:val="both"/>
        <w:rPr>
          <w:rFonts w:ascii="Arial Narrow" w:eastAsia="Times New Roman" w:hAnsi="Arial Narrow"/>
          <w:lang w:eastAsia="ro-RO"/>
        </w:rPr>
      </w:pPr>
      <w:r w:rsidRPr="00746DFF">
        <w:rPr>
          <w:rFonts w:ascii="Arial Narrow" w:eastAsia="Times New Roman" w:hAnsi="Arial Narrow"/>
          <w:b/>
          <w:bCs/>
          <w:lang w:eastAsia="ro-RO"/>
        </w:rPr>
        <w:t>Art. 7</w:t>
      </w:r>
    </w:p>
    <w:p w:rsidR="00746DFF" w:rsidRPr="00746DFF" w:rsidRDefault="00746DFF" w:rsidP="00564606">
      <w:pPr>
        <w:shd w:val="clear" w:color="auto" w:fill="FFFFFF"/>
        <w:ind w:left="360"/>
        <w:jc w:val="both"/>
        <w:rPr>
          <w:rFonts w:ascii="Arial Narrow" w:eastAsia="Times New Roman" w:hAnsi="Arial Narrow"/>
          <w:lang w:eastAsia="ro-RO"/>
        </w:rPr>
      </w:pPr>
      <w:bookmarkStart w:id="0" w:name="do|caIII|si2|ar7|al1"/>
      <w:bookmarkEnd w:id="0"/>
      <w:r w:rsidRPr="00746DFF">
        <w:rPr>
          <w:rFonts w:ascii="Arial Narrow" w:eastAsia="Times New Roman" w:hAnsi="Arial Narrow"/>
          <w:b/>
          <w:bCs/>
          <w:lang w:eastAsia="ro-RO"/>
        </w:rPr>
        <w:t>(1)</w:t>
      </w:r>
      <w:r w:rsidRPr="00746DFF">
        <w:rPr>
          <w:rFonts w:ascii="Arial Narrow" w:eastAsia="Times New Roman" w:hAnsi="Arial Narrow"/>
          <w:lang w:eastAsia="ro-RO"/>
        </w:rPr>
        <w:t xml:space="preserve">Oficiul Naţional al Registrului Comerţului este condus de un director general selecţionat prin examen sau concurs şi numit în funcţie prin ordin al ministrului justiţiei, pentru un mandat de 4 ani, care poate fi reînnoit, în condiţiile legii şi potrivit Regulamentului de ocupare a funcţiilor de director general, director general adjunct la Oficiul Naţional al Registrului Comerţului şi a funcţiilor de director, </w:t>
      </w:r>
      <w:proofErr w:type="spellStart"/>
      <w:r w:rsidRPr="00746DFF">
        <w:rPr>
          <w:rFonts w:ascii="Arial Narrow" w:eastAsia="Times New Roman" w:hAnsi="Arial Narrow"/>
          <w:lang w:eastAsia="ro-RO"/>
        </w:rPr>
        <w:t>director</w:t>
      </w:r>
      <w:proofErr w:type="spellEnd"/>
      <w:r w:rsidRPr="00746DFF">
        <w:rPr>
          <w:rFonts w:ascii="Arial Narrow" w:eastAsia="Times New Roman" w:hAnsi="Arial Narrow"/>
          <w:lang w:eastAsia="ro-RO"/>
        </w:rPr>
        <w:t xml:space="preserve"> adjunct la oficiile registrului comerţului de pe lângă tribunale, aprobat prin ordin al ministrului justiţiei.</w:t>
      </w:r>
    </w:p>
    <w:p w:rsidR="00746DFF" w:rsidRPr="00746DFF" w:rsidRDefault="00746DFF" w:rsidP="00564606">
      <w:pPr>
        <w:shd w:val="clear" w:color="auto" w:fill="FFFFFF"/>
        <w:ind w:left="360"/>
        <w:jc w:val="both"/>
        <w:rPr>
          <w:rFonts w:ascii="Arial Narrow" w:eastAsia="Times New Roman" w:hAnsi="Arial Narrow"/>
          <w:lang w:eastAsia="ro-RO"/>
        </w:rPr>
      </w:pPr>
      <w:r w:rsidRPr="00746DFF">
        <w:rPr>
          <w:rFonts w:ascii="Arial Narrow" w:eastAsia="Times New Roman" w:hAnsi="Arial Narrow"/>
          <w:b/>
          <w:bCs/>
          <w:lang w:eastAsia="ro-RO"/>
        </w:rPr>
        <w:t>(2)</w:t>
      </w:r>
      <w:r w:rsidRPr="00746DFF">
        <w:rPr>
          <w:rFonts w:ascii="Arial Narrow" w:eastAsia="Times New Roman" w:hAnsi="Arial Narrow"/>
          <w:lang w:eastAsia="ro-RO"/>
        </w:rPr>
        <w:t>Directorul general al Oficiului Naţional al Registrului Comerţului este ordonator terţiar de credite şi reprezintă Oficiul Naţional ai Registrului Comerţului în relaţiile cu terţii, fiind conducătorul şi coordonatorul activităţii specifice prevăzute de lege, iar în această calitate are următoarele competenţe:</w:t>
      </w:r>
    </w:p>
    <w:p w:rsidR="00746DFF" w:rsidRPr="00746DFF" w:rsidRDefault="00746DFF" w:rsidP="00564606">
      <w:pPr>
        <w:shd w:val="clear" w:color="auto" w:fill="FFFFFF"/>
        <w:ind w:left="360"/>
        <w:jc w:val="both"/>
        <w:rPr>
          <w:rFonts w:ascii="Arial Narrow" w:eastAsia="Times New Roman" w:hAnsi="Arial Narrow"/>
          <w:lang w:eastAsia="ro-RO"/>
        </w:rPr>
      </w:pPr>
      <w:bookmarkStart w:id="1" w:name="do|caIII|si2|ar7|al2|lia"/>
      <w:bookmarkEnd w:id="1"/>
      <w:r w:rsidRPr="00746DFF">
        <w:rPr>
          <w:rFonts w:ascii="Arial Narrow" w:eastAsia="Times New Roman" w:hAnsi="Arial Narrow"/>
          <w:b/>
          <w:bCs/>
          <w:lang w:eastAsia="ro-RO"/>
        </w:rPr>
        <w:t>a)</w:t>
      </w:r>
      <w:r w:rsidRPr="00746DFF">
        <w:rPr>
          <w:rFonts w:ascii="Arial Narrow" w:eastAsia="Times New Roman" w:hAnsi="Arial Narrow"/>
          <w:lang w:eastAsia="ro-RO"/>
        </w:rPr>
        <w:t>transmite spre aprobare ordonatorului principal de credite bugetul anual şi rectificările acestuia;</w:t>
      </w:r>
    </w:p>
    <w:p w:rsidR="00746DFF" w:rsidRPr="00746DFF" w:rsidRDefault="00746DFF" w:rsidP="00564606">
      <w:pPr>
        <w:shd w:val="clear" w:color="auto" w:fill="FFFFFF"/>
        <w:ind w:left="360"/>
        <w:jc w:val="both"/>
        <w:rPr>
          <w:rFonts w:ascii="Arial Narrow" w:eastAsia="Times New Roman" w:hAnsi="Arial Narrow"/>
          <w:lang w:eastAsia="ro-RO"/>
        </w:rPr>
      </w:pPr>
      <w:bookmarkStart w:id="2" w:name="do|caIII|si2|ar7|al2|lib"/>
      <w:bookmarkEnd w:id="2"/>
      <w:r w:rsidRPr="00746DFF">
        <w:rPr>
          <w:rFonts w:ascii="Arial Narrow" w:eastAsia="Times New Roman" w:hAnsi="Arial Narrow"/>
          <w:b/>
          <w:bCs/>
          <w:lang w:eastAsia="ro-RO"/>
        </w:rPr>
        <w:t>b)</w:t>
      </w:r>
      <w:r w:rsidRPr="00746DFF">
        <w:rPr>
          <w:rFonts w:ascii="Arial Narrow" w:eastAsia="Times New Roman" w:hAnsi="Arial Narrow"/>
          <w:lang w:eastAsia="ro-RO"/>
        </w:rPr>
        <w:t>angajează şi utilizează creditele bugetare numai în limita prevederilor şi destinaţiilor aprobate, pentru cheltuieli strict legate de activitatea instituţiei şi cu respectarea dispoziţiilor legale;</w:t>
      </w:r>
    </w:p>
    <w:p w:rsidR="00746DFF" w:rsidRPr="00746DFF" w:rsidRDefault="00746DFF" w:rsidP="00564606">
      <w:pPr>
        <w:shd w:val="clear" w:color="auto" w:fill="FFFFFF"/>
        <w:ind w:left="360"/>
        <w:jc w:val="both"/>
        <w:rPr>
          <w:rFonts w:ascii="Arial Narrow" w:eastAsia="Times New Roman" w:hAnsi="Arial Narrow"/>
          <w:lang w:eastAsia="ro-RO"/>
        </w:rPr>
      </w:pPr>
      <w:bookmarkStart w:id="3" w:name="do|caIII|si2|ar7|al2|lic"/>
      <w:bookmarkEnd w:id="3"/>
      <w:r w:rsidRPr="00746DFF">
        <w:rPr>
          <w:rFonts w:ascii="Arial Narrow" w:eastAsia="Times New Roman" w:hAnsi="Arial Narrow"/>
          <w:b/>
          <w:bCs/>
          <w:lang w:eastAsia="ro-RO"/>
        </w:rPr>
        <w:t>c)</w:t>
      </w:r>
      <w:r w:rsidRPr="00746DFF">
        <w:rPr>
          <w:rFonts w:ascii="Arial Narrow" w:eastAsia="Times New Roman" w:hAnsi="Arial Narrow"/>
          <w:lang w:eastAsia="ro-RO"/>
        </w:rPr>
        <w:t>răspunde de angajarea şi utilizarea creditelor bugetare pe baza bunei gestiuni financiare;</w:t>
      </w:r>
    </w:p>
    <w:p w:rsidR="00746DFF" w:rsidRPr="00746DFF" w:rsidRDefault="00746DFF" w:rsidP="00564606">
      <w:pPr>
        <w:shd w:val="clear" w:color="auto" w:fill="FFFFFF"/>
        <w:ind w:left="360"/>
        <w:jc w:val="both"/>
        <w:rPr>
          <w:rFonts w:ascii="Arial Narrow" w:eastAsia="Times New Roman" w:hAnsi="Arial Narrow"/>
          <w:lang w:eastAsia="ro-RO"/>
        </w:rPr>
      </w:pPr>
      <w:bookmarkStart w:id="4" w:name="do|caIII|si2|ar7|al2|lid"/>
      <w:bookmarkEnd w:id="4"/>
      <w:r w:rsidRPr="00746DFF">
        <w:rPr>
          <w:rFonts w:ascii="Arial Narrow" w:eastAsia="Times New Roman" w:hAnsi="Arial Narrow"/>
          <w:b/>
          <w:bCs/>
          <w:lang w:eastAsia="ro-RO"/>
        </w:rPr>
        <w:t>d)</w:t>
      </w:r>
      <w:r w:rsidRPr="00746DFF">
        <w:rPr>
          <w:rFonts w:ascii="Arial Narrow" w:eastAsia="Times New Roman" w:hAnsi="Arial Narrow"/>
          <w:lang w:eastAsia="ro-RO"/>
        </w:rPr>
        <w:t>răspunde de integritatea bunurilor Oficiului Naţional al Registrului Comerţului şi ale oficiilor registrului comerţului de pe lângă tribunale;</w:t>
      </w:r>
    </w:p>
    <w:p w:rsidR="00746DFF" w:rsidRPr="00746DFF" w:rsidRDefault="00746DFF" w:rsidP="00564606">
      <w:pPr>
        <w:shd w:val="clear" w:color="auto" w:fill="FFFFFF"/>
        <w:ind w:left="360"/>
        <w:jc w:val="both"/>
        <w:rPr>
          <w:rFonts w:ascii="Arial Narrow" w:eastAsia="Times New Roman" w:hAnsi="Arial Narrow"/>
          <w:lang w:eastAsia="ro-RO"/>
        </w:rPr>
      </w:pPr>
      <w:bookmarkStart w:id="5" w:name="do|caIII|si2|ar7|al2|lie"/>
      <w:bookmarkEnd w:id="5"/>
      <w:r w:rsidRPr="00746DFF">
        <w:rPr>
          <w:rFonts w:ascii="Arial Narrow" w:eastAsia="Times New Roman" w:hAnsi="Arial Narrow"/>
          <w:b/>
          <w:bCs/>
          <w:lang w:eastAsia="ro-RO"/>
        </w:rPr>
        <w:t>e)</w:t>
      </w:r>
      <w:r w:rsidRPr="00746DFF">
        <w:rPr>
          <w:rFonts w:ascii="Arial Narrow" w:eastAsia="Times New Roman" w:hAnsi="Arial Narrow"/>
          <w:lang w:eastAsia="ro-RO"/>
        </w:rPr>
        <w:t>răspunde pentru organizarea şi ţinerea la zi a contabilităţii şi prezentarea la termen a situaţiilor financiare asupra situaţiei patrimoniului aflat în administrare şi a execuţiei bugetare;</w:t>
      </w:r>
    </w:p>
    <w:p w:rsidR="00746DFF" w:rsidRPr="00746DFF" w:rsidRDefault="00746DFF" w:rsidP="00564606">
      <w:pPr>
        <w:shd w:val="clear" w:color="auto" w:fill="FFFFFF"/>
        <w:ind w:left="360"/>
        <w:jc w:val="both"/>
        <w:rPr>
          <w:rFonts w:ascii="Arial Narrow" w:eastAsia="Times New Roman" w:hAnsi="Arial Narrow"/>
          <w:lang w:eastAsia="ro-RO"/>
        </w:rPr>
      </w:pPr>
      <w:bookmarkStart w:id="6" w:name="do|caIII|si2|ar7|al2|lif"/>
      <w:bookmarkEnd w:id="6"/>
      <w:r w:rsidRPr="00746DFF">
        <w:rPr>
          <w:rFonts w:ascii="Arial Narrow" w:eastAsia="Times New Roman" w:hAnsi="Arial Narrow"/>
          <w:b/>
          <w:bCs/>
          <w:lang w:eastAsia="ro-RO"/>
        </w:rPr>
        <w:t>f)</w:t>
      </w:r>
      <w:r w:rsidRPr="00746DFF">
        <w:rPr>
          <w:rFonts w:ascii="Arial Narrow" w:eastAsia="Times New Roman" w:hAnsi="Arial Narrow"/>
          <w:lang w:eastAsia="ro-RO"/>
        </w:rPr>
        <w:t>răspunde pentru organizarea şi monitorizarea programului de investiţii şi achiziţii publice;</w:t>
      </w:r>
    </w:p>
    <w:p w:rsidR="00746DFF" w:rsidRPr="00746DFF" w:rsidRDefault="00746DFF" w:rsidP="00564606">
      <w:pPr>
        <w:shd w:val="clear" w:color="auto" w:fill="FFFFFF"/>
        <w:ind w:left="360"/>
        <w:jc w:val="both"/>
        <w:rPr>
          <w:rFonts w:ascii="Arial Narrow" w:eastAsia="Times New Roman" w:hAnsi="Arial Narrow"/>
          <w:lang w:eastAsia="ro-RO"/>
        </w:rPr>
      </w:pPr>
      <w:bookmarkStart w:id="7" w:name="do|caIII|si2|ar7|al2|lig"/>
      <w:bookmarkEnd w:id="7"/>
      <w:r w:rsidRPr="00746DFF">
        <w:rPr>
          <w:rFonts w:ascii="Arial Narrow" w:eastAsia="Times New Roman" w:hAnsi="Arial Narrow"/>
          <w:b/>
          <w:bCs/>
          <w:lang w:eastAsia="ro-RO"/>
        </w:rPr>
        <w:t>g)</w:t>
      </w:r>
      <w:r w:rsidRPr="00746DFF">
        <w:rPr>
          <w:rFonts w:ascii="Arial Narrow" w:eastAsia="Times New Roman" w:hAnsi="Arial Narrow"/>
          <w:lang w:eastAsia="ro-RO"/>
        </w:rPr>
        <w:t>răspunde pentru organizarea şi ţinerea la zi a evidenţei patrimoniului conform prevederilor legale;</w:t>
      </w:r>
    </w:p>
    <w:p w:rsidR="00746DFF" w:rsidRPr="00746DFF" w:rsidRDefault="00746DFF" w:rsidP="00564606">
      <w:pPr>
        <w:shd w:val="clear" w:color="auto" w:fill="FFFFFF"/>
        <w:ind w:left="360"/>
        <w:jc w:val="both"/>
        <w:rPr>
          <w:rFonts w:ascii="Arial Narrow" w:eastAsia="Times New Roman" w:hAnsi="Arial Narrow"/>
          <w:lang w:eastAsia="ro-RO"/>
        </w:rPr>
      </w:pPr>
      <w:bookmarkStart w:id="8" w:name="do|caIII|si2|ar7|al2|lih"/>
      <w:bookmarkEnd w:id="8"/>
      <w:r w:rsidRPr="00746DFF">
        <w:rPr>
          <w:rFonts w:ascii="Arial Narrow" w:eastAsia="Times New Roman" w:hAnsi="Arial Narrow"/>
          <w:b/>
          <w:bCs/>
          <w:lang w:eastAsia="ro-RO"/>
        </w:rPr>
        <w:t>h)</w:t>
      </w:r>
      <w:r w:rsidRPr="00746DFF">
        <w:rPr>
          <w:rFonts w:ascii="Arial Narrow" w:eastAsia="Times New Roman" w:hAnsi="Arial Narrow"/>
          <w:lang w:eastAsia="ro-RO"/>
        </w:rPr>
        <w:t>înainte de a angaja şi utiliza creditele bugetare, respectiv înainte de a lua orice măsură care ar produce o cheltuială, ordonatorul de credite trebuie să se asigure că măsura luată respectă principiile unei bune gestiuni financiare, ale unui management financiar sănătos, în special ale economiei şi eficienţei cheltuielilor. Utilizarea creditelor bugetare trebuie să fie precedată de o evaluare care să asigure faptul că rezultatele obţinute sunt corespunzătoare resurselor utilizate;</w:t>
      </w:r>
    </w:p>
    <w:p w:rsidR="00746DFF" w:rsidRPr="00746DFF" w:rsidRDefault="00746DFF" w:rsidP="00564606">
      <w:pPr>
        <w:shd w:val="clear" w:color="auto" w:fill="FFFFFF"/>
        <w:ind w:left="360"/>
        <w:jc w:val="both"/>
        <w:rPr>
          <w:rFonts w:ascii="Arial Narrow" w:eastAsia="Times New Roman" w:hAnsi="Arial Narrow"/>
          <w:lang w:eastAsia="ro-RO"/>
        </w:rPr>
      </w:pPr>
      <w:bookmarkStart w:id="9" w:name="do|caIII|si2|ar7|al2|lii"/>
      <w:bookmarkEnd w:id="9"/>
      <w:r w:rsidRPr="00746DFF">
        <w:rPr>
          <w:rFonts w:ascii="Arial Narrow" w:eastAsia="Times New Roman" w:hAnsi="Arial Narrow"/>
          <w:b/>
          <w:bCs/>
          <w:lang w:eastAsia="ro-RO"/>
        </w:rPr>
        <w:t>i)</w:t>
      </w:r>
      <w:r w:rsidRPr="00746DFF">
        <w:rPr>
          <w:rFonts w:ascii="Arial Narrow" w:eastAsia="Times New Roman" w:hAnsi="Arial Narrow"/>
          <w:lang w:eastAsia="ro-RO"/>
        </w:rPr>
        <w:t>aprobă planul de organizare a controlului financiar preventiv şi a auditului public intern;</w:t>
      </w:r>
    </w:p>
    <w:p w:rsidR="00746DFF" w:rsidRPr="00746DFF" w:rsidRDefault="00746DFF" w:rsidP="00564606">
      <w:pPr>
        <w:shd w:val="clear" w:color="auto" w:fill="FFFFFF"/>
        <w:ind w:left="360"/>
        <w:jc w:val="both"/>
        <w:rPr>
          <w:rFonts w:ascii="Arial Narrow" w:eastAsia="Times New Roman" w:hAnsi="Arial Narrow"/>
          <w:lang w:eastAsia="ro-RO"/>
        </w:rPr>
      </w:pPr>
      <w:bookmarkStart w:id="10" w:name="do|caIII|si2|ar7|al2|lij"/>
      <w:bookmarkEnd w:id="10"/>
      <w:r w:rsidRPr="00746DFF">
        <w:rPr>
          <w:rFonts w:ascii="Arial Narrow" w:eastAsia="Times New Roman" w:hAnsi="Arial Narrow"/>
          <w:b/>
          <w:bCs/>
          <w:lang w:eastAsia="ro-RO"/>
        </w:rPr>
        <w:t>j)</w:t>
      </w:r>
      <w:r w:rsidRPr="00746DFF">
        <w:rPr>
          <w:rFonts w:ascii="Arial Narrow" w:eastAsia="Times New Roman" w:hAnsi="Arial Narrow"/>
          <w:lang w:eastAsia="ro-RO"/>
        </w:rPr>
        <w:t>asigura conducerea, coordonarea şi controlul activităţii Oficiului Naţional al Registrului Comerţului, precum şi a oficiilor registrului comerţului de pe lângă tribunale;</w:t>
      </w:r>
    </w:p>
    <w:p w:rsidR="00746DFF" w:rsidRPr="00746DFF" w:rsidRDefault="00746DFF" w:rsidP="00564606">
      <w:pPr>
        <w:shd w:val="clear" w:color="auto" w:fill="FFFFFF"/>
        <w:ind w:left="360"/>
        <w:jc w:val="both"/>
        <w:rPr>
          <w:rFonts w:ascii="Arial Narrow" w:eastAsia="Times New Roman" w:hAnsi="Arial Narrow"/>
          <w:lang w:eastAsia="ro-RO"/>
        </w:rPr>
      </w:pPr>
      <w:bookmarkStart w:id="11" w:name="do|caIII|si2|ar7|al2|lik"/>
      <w:bookmarkEnd w:id="11"/>
      <w:r w:rsidRPr="00746DFF">
        <w:rPr>
          <w:rFonts w:ascii="Arial Narrow" w:eastAsia="Times New Roman" w:hAnsi="Arial Narrow"/>
          <w:b/>
          <w:bCs/>
          <w:lang w:eastAsia="ro-RO"/>
        </w:rPr>
        <w:t>k)</w:t>
      </w:r>
      <w:r w:rsidRPr="00746DFF">
        <w:rPr>
          <w:rFonts w:ascii="Arial Narrow" w:eastAsia="Times New Roman" w:hAnsi="Arial Narrow"/>
          <w:lang w:eastAsia="ro-RO"/>
        </w:rPr>
        <w:t xml:space="preserve">numeşte personalul Oficiului Naţional al Registrului Comerţului şi al oficiilor registrului comerţului de pe lângă tribunale, conform art. 10 alin. (6) din Legea nr. </w:t>
      </w:r>
      <w:hyperlink r:id="rId6" w:history="1">
        <w:r w:rsidRPr="00746DFF">
          <w:rPr>
            <w:rFonts w:ascii="Arial Narrow" w:eastAsia="Times New Roman" w:hAnsi="Arial Narrow"/>
            <w:b/>
            <w:bCs/>
            <w:u w:val="single"/>
            <w:lang w:eastAsia="ro-RO"/>
          </w:rPr>
          <w:t>26/1990</w:t>
        </w:r>
      </w:hyperlink>
      <w:r w:rsidRPr="00746DFF">
        <w:rPr>
          <w:rFonts w:ascii="Arial Narrow" w:eastAsia="Times New Roman" w:hAnsi="Arial Narrow"/>
          <w:lang w:eastAsia="ro-RO"/>
        </w:rPr>
        <w:t>, republicată, cu modificările şi completările ulterioare, în limita bugetului aprobat anual şi a statelor de personal existente;</w:t>
      </w:r>
    </w:p>
    <w:p w:rsidR="00746DFF" w:rsidRPr="00746DFF" w:rsidRDefault="00746DFF" w:rsidP="00564606">
      <w:pPr>
        <w:shd w:val="clear" w:color="auto" w:fill="FFFFFF"/>
        <w:ind w:left="360"/>
        <w:jc w:val="both"/>
        <w:rPr>
          <w:rFonts w:ascii="Arial Narrow" w:eastAsia="Times New Roman" w:hAnsi="Arial Narrow"/>
          <w:lang w:eastAsia="ro-RO"/>
        </w:rPr>
      </w:pPr>
      <w:bookmarkStart w:id="12" w:name="do|caIII|si2|ar7|al2|lil"/>
      <w:bookmarkEnd w:id="12"/>
      <w:r w:rsidRPr="00746DFF">
        <w:rPr>
          <w:rFonts w:ascii="Arial Narrow" w:eastAsia="Times New Roman" w:hAnsi="Arial Narrow"/>
          <w:b/>
          <w:bCs/>
          <w:lang w:eastAsia="ro-RO"/>
        </w:rPr>
        <w:t>l)</w:t>
      </w:r>
      <w:r w:rsidRPr="00746DFF">
        <w:rPr>
          <w:rFonts w:ascii="Arial Narrow" w:eastAsia="Times New Roman" w:hAnsi="Arial Narrow"/>
          <w:lang w:eastAsia="ro-RO"/>
        </w:rPr>
        <w:t xml:space="preserve">aprobă înfiinţarea şi desfiinţarea birourilor teritoriale ale oficiilor registrului comerţului de pe lângă tribunale în baza avizului Consiliului consultativ, ţinând cont de rezultatele financiare ale acestora şi de condiţiile </w:t>
      </w:r>
      <w:r w:rsidRPr="00746DFF">
        <w:rPr>
          <w:rFonts w:ascii="Arial Narrow" w:eastAsia="Times New Roman" w:hAnsi="Arial Narrow"/>
          <w:lang w:eastAsia="ro-RO"/>
        </w:rPr>
        <w:lastRenderedPageBreak/>
        <w:t>administrative ale oficiului registrului comerţului de pe lângă tribunal, precum şi înfiinţarea şi desfiinţarea ghişeelor de furnizare a informaţiilor înregistrate în registrul comerţului;</w:t>
      </w:r>
    </w:p>
    <w:p w:rsidR="00746DFF" w:rsidRPr="00746DFF" w:rsidRDefault="00746DFF" w:rsidP="00564606">
      <w:pPr>
        <w:shd w:val="clear" w:color="auto" w:fill="FFFFFF"/>
        <w:ind w:left="360"/>
        <w:jc w:val="both"/>
        <w:rPr>
          <w:rFonts w:ascii="Arial Narrow" w:eastAsia="Times New Roman" w:hAnsi="Arial Narrow"/>
          <w:lang w:eastAsia="ro-RO"/>
        </w:rPr>
      </w:pPr>
      <w:bookmarkStart w:id="13" w:name="do|caIII|si2|ar7|al2|lim"/>
      <w:bookmarkEnd w:id="13"/>
      <w:r w:rsidRPr="00746DFF">
        <w:rPr>
          <w:rFonts w:ascii="Arial Narrow" w:eastAsia="Times New Roman" w:hAnsi="Arial Narrow"/>
          <w:b/>
          <w:bCs/>
          <w:lang w:eastAsia="ro-RO"/>
        </w:rPr>
        <w:t>m)</w:t>
      </w:r>
      <w:r w:rsidRPr="00746DFF">
        <w:rPr>
          <w:rFonts w:ascii="Arial Narrow" w:eastAsia="Times New Roman" w:hAnsi="Arial Narrow"/>
          <w:lang w:eastAsia="ro-RO"/>
        </w:rPr>
        <w:t>asigură implementarea şi monitorizarea controlului managerial intern.</w:t>
      </w:r>
    </w:p>
    <w:p w:rsidR="00746DFF" w:rsidRPr="00746DFF" w:rsidRDefault="00746DFF" w:rsidP="00564606">
      <w:pPr>
        <w:shd w:val="clear" w:color="auto" w:fill="FFFFFF"/>
        <w:ind w:left="360"/>
        <w:jc w:val="both"/>
        <w:rPr>
          <w:rFonts w:ascii="Arial Narrow" w:eastAsia="Times New Roman" w:hAnsi="Arial Narrow"/>
          <w:lang w:eastAsia="ro-RO"/>
        </w:rPr>
      </w:pPr>
      <w:bookmarkStart w:id="14" w:name="do|caIII|si2|ar7|al3"/>
      <w:bookmarkEnd w:id="14"/>
      <w:r w:rsidRPr="00746DFF">
        <w:rPr>
          <w:rFonts w:ascii="Arial Narrow" w:eastAsia="Times New Roman" w:hAnsi="Arial Narrow"/>
          <w:b/>
          <w:bCs/>
          <w:lang w:eastAsia="ro-RO"/>
        </w:rPr>
        <w:t>(3)</w:t>
      </w:r>
      <w:r w:rsidRPr="00746DFF">
        <w:rPr>
          <w:rFonts w:ascii="Arial Narrow" w:eastAsia="Times New Roman" w:hAnsi="Arial Narrow"/>
          <w:lang w:eastAsia="ro-RO"/>
        </w:rPr>
        <w:t>în realizarea atribuţiilor sale, directorul general al Oficiului Naţional al Registrului Comerţului poate delega, prin decizie, competenţele ce îi revin, precum şi dreptul de semnătură directorilor generali adjuncţi, directorilor de direcţii, directorilor oficiilor registrului comerţului de pe lângă tribunale, după caz, în funcţie de specificul activităţii acestora. Atunci când delegarea se referă la operaţiunile specifice angajării, lichidării şi ordonanţării cheltuielilor care sunt în competenţa sa ca ordonator terţiar de credite, în actul de delegare trebuie specificate limitele şi condiţiile delegării, respectiv atribuţiile persoanelor delegate, subdiviziunile clasificaţiei bugetului aprobat pentru care au fost împuternicite să efectueze aceste operaţiuni şi termenul de valabilitate a împuternicirii. În cazul în care se decide încetarea delegării, actul de încetare a delegării se comunică persoanelor menţionate mai sus.</w:t>
      </w:r>
    </w:p>
    <w:p w:rsidR="00746DFF" w:rsidRPr="00746DFF" w:rsidRDefault="00746DFF" w:rsidP="00564606">
      <w:pPr>
        <w:shd w:val="clear" w:color="auto" w:fill="FFFFFF"/>
        <w:ind w:left="360"/>
        <w:jc w:val="both"/>
        <w:rPr>
          <w:rFonts w:ascii="Arial Narrow" w:eastAsia="Times New Roman" w:hAnsi="Arial Narrow"/>
          <w:lang w:eastAsia="ro-RO"/>
        </w:rPr>
      </w:pPr>
      <w:bookmarkStart w:id="15" w:name="do|caIII|si2|ar7|al4"/>
      <w:bookmarkEnd w:id="15"/>
      <w:r w:rsidRPr="00746DFF">
        <w:rPr>
          <w:rFonts w:ascii="Arial Narrow" w:eastAsia="Times New Roman" w:hAnsi="Arial Narrow"/>
          <w:b/>
          <w:bCs/>
          <w:lang w:eastAsia="ro-RO"/>
        </w:rPr>
        <w:t>(4)</w:t>
      </w:r>
      <w:r w:rsidRPr="00746DFF">
        <w:rPr>
          <w:rFonts w:ascii="Arial Narrow" w:eastAsia="Times New Roman" w:hAnsi="Arial Narrow"/>
          <w:lang w:eastAsia="ro-RO"/>
        </w:rPr>
        <w:t>În cazul în care directorul general se află în imposibilitate temporară de exercitare a atribuţiilor sale şi nu şi-a delegat competenţele, potrivit alin. (3), ministrul justiţiei desemnează dintre directorii generali adjuncţi un înlocuitor al directorului general.</w:t>
      </w:r>
    </w:p>
    <w:p w:rsidR="00746DFF" w:rsidRPr="00746DFF" w:rsidRDefault="00746DFF" w:rsidP="00564606">
      <w:pPr>
        <w:shd w:val="clear" w:color="auto" w:fill="FFFFFF"/>
        <w:ind w:left="360"/>
        <w:jc w:val="both"/>
        <w:rPr>
          <w:rFonts w:ascii="Arial Narrow" w:eastAsia="Times New Roman" w:hAnsi="Arial Narrow"/>
          <w:lang w:eastAsia="ro-RO"/>
        </w:rPr>
      </w:pPr>
      <w:r w:rsidRPr="00746DFF">
        <w:rPr>
          <w:rFonts w:ascii="Arial Narrow" w:eastAsia="Times New Roman" w:hAnsi="Arial Narrow"/>
          <w:b/>
          <w:bCs/>
          <w:lang w:eastAsia="ro-RO"/>
        </w:rPr>
        <w:t xml:space="preserve"> (5)</w:t>
      </w:r>
      <w:r w:rsidRPr="00746DFF">
        <w:rPr>
          <w:rFonts w:ascii="Arial Narrow" w:eastAsia="Times New Roman" w:hAnsi="Arial Narrow"/>
          <w:lang w:eastAsia="ro-RO"/>
        </w:rPr>
        <w:t>Directorul general al Oficiului Naţional al Registrului Comerţului aprobă prin decizie:</w:t>
      </w:r>
    </w:p>
    <w:p w:rsidR="00746DFF" w:rsidRPr="00746DFF" w:rsidRDefault="00746DFF" w:rsidP="00564606">
      <w:pPr>
        <w:shd w:val="clear" w:color="auto" w:fill="FFFFFF"/>
        <w:ind w:left="360"/>
        <w:jc w:val="both"/>
        <w:rPr>
          <w:rFonts w:ascii="Arial Narrow" w:eastAsia="Times New Roman" w:hAnsi="Arial Narrow"/>
          <w:lang w:eastAsia="ro-RO"/>
        </w:rPr>
      </w:pPr>
      <w:bookmarkStart w:id="16" w:name="do|caIII|si2|ar7|al5|lia"/>
      <w:bookmarkEnd w:id="16"/>
      <w:r w:rsidRPr="00746DFF">
        <w:rPr>
          <w:rFonts w:ascii="Arial Narrow" w:eastAsia="Times New Roman" w:hAnsi="Arial Narrow"/>
          <w:b/>
          <w:bCs/>
          <w:lang w:eastAsia="ro-RO"/>
        </w:rPr>
        <w:t>a)</w:t>
      </w:r>
      <w:r w:rsidRPr="00746DFF">
        <w:rPr>
          <w:rFonts w:ascii="Arial Narrow" w:eastAsia="Times New Roman" w:hAnsi="Arial Narrow"/>
          <w:lang w:eastAsia="ro-RO"/>
        </w:rPr>
        <w:t>regulamentul intern, după consultarea reprezentanţilor salariaţilor;</w:t>
      </w:r>
    </w:p>
    <w:p w:rsidR="00746DFF" w:rsidRPr="00746DFF" w:rsidRDefault="00746DFF" w:rsidP="00564606">
      <w:pPr>
        <w:shd w:val="clear" w:color="auto" w:fill="FFFFFF"/>
        <w:ind w:left="360"/>
        <w:jc w:val="both"/>
        <w:rPr>
          <w:rFonts w:ascii="Arial Narrow" w:eastAsia="Times New Roman" w:hAnsi="Arial Narrow"/>
          <w:lang w:eastAsia="ro-RO"/>
        </w:rPr>
      </w:pPr>
      <w:bookmarkStart w:id="17" w:name="do|caIII|si2|ar7|al5|lib"/>
      <w:bookmarkEnd w:id="17"/>
      <w:r w:rsidRPr="00746DFF">
        <w:rPr>
          <w:rFonts w:ascii="Arial Narrow" w:eastAsia="Times New Roman" w:hAnsi="Arial Narrow"/>
          <w:b/>
          <w:bCs/>
          <w:lang w:eastAsia="ro-RO"/>
        </w:rPr>
        <w:t>b)</w:t>
      </w:r>
      <w:r w:rsidRPr="00746DFF">
        <w:rPr>
          <w:rFonts w:ascii="Arial Narrow" w:eastAsia="Times New Roman" w:hAnsi="Arial Narrow"/>
          <w:lang w:eastAsia="ro-RO"/>
        </w:rPr>
        <w:t>instrucţiunile, procedurile de lucru, alte formulare decât cele aprobate prin ordin al ministrului justiţiei, alte regulamente, în baza propunerilor direcţiilor din cadrul Oficiului Naţional al Registrului Comerţului şi ale directorilor oficiilor registrului comerţului de pe lângă tribunale.</w:t>
      </w:r>
    </w:p>
    <w:p w:rsidR="00746DFF" w:rsidRPr="00746DFF" w:rsidRDefault="00746DFF" w:rsidP="00564606">
      <w:pPr>
        <w:shd w:val="clear" w:color="auto" w:fill="FFFFFF"/>
        <w:ind w:left="360"/>
        <w:jc w:val="both"/>
        <w:rPr>
          <w:rFonts w:ascii="Arial Narrow" w:eastAsia="Times New Roman" w:hAnsi="Arial Narrow"/>
          <w:lang w:eastAsia="ro-RO"/>
        </w:rPr>
      </w:pPr>
      <w:bookmarkStart w:id="18" w:name="do|caIII|si2|ar7|al6"/>
      <w:bookmarkEnd w:id="18"/>
      <w:r w:rsidRPr="00746DFF">
        <w:rPr>
          <w:rFonts w:ascii="Arial Narrow" w:eastAsia="Times New Roman" w:hAnsi="Arial Narrow"/>
          <w:b/>
          <w:bCs/>
          <w:lang w:eastAsia="ro-RO"/>
        </w:rPr>
        <w:t>(6)</w:t>
      </w:r>
      <w:r w:rsidRPr="00746DFF">
        <w:rPr>
          <w:rFonts w:ascii="Arial Narrow" w:eastAsia="Times New Roman" w:hAnsi="Arial Narrow"/>
          <w:lang w:eastAsia="ro-RO"/>
        </w:rPr>
        <w:t>Directorul general al Oficiului Naţional al Registrului Comerţului desemnează, prin decizie, pe baza propunerilor făcute de directorii de direcţii din cadrul Oficiului Naţional al Registrului Comerţului sau ale directorilor oficiilor registrului comerţului de pe lângă tribunale, după caz, grupurile de lucru constituite la nivelul Oficiului Naţional al Registrului Comerţului în scopul elaborării documentelor necesare în vederea desfăşurării unitare a activităţii oficiilor registrului comerţului de pe lângă tribunale şi a Oficiului Naţional al Registrului Comerţului.</w:t>
      </w:r>
    </w:p>
    <w:p w:rsidR="00746DFF" w:rsidRPr="00746DFF" w:rsidRDefault="00746DFF" w:rsidP="00564606">
      <w:pPr>
        <w:shd w:val="clear" w:color="auto" w:fill="FFFFFF"/>
        <w:ind w:left="360"/>
        <w:jc w:val="both"/>
        <w:rPr>
          <w:rFonts w:ascii="Arial Narrow" w:eastAsia="Times New Roman" w:hAnsi="Arial Narrow"/>
          <w:lang w:eastAsia="ro-RO"/>
        </w:rPr>
      </w:pPr>
      <w:bookmarkStart w:id="19" w:name="do|caIII|si2|ar7|al7"/>
      <w:bookmarkEnd w:id="19"/>
      <w:r w:rsidRPr="00746DFF">
        <w:rPr>
          <w:rFonts w:ascii="Arial Narrow" w:eastAsia="Times New Roman" w:hAnsi="Arial Narrow"/>
          <w:b/>
          <w:bCs/>
          <w:lang w:eastAsia="ro-RO"/>
        </w:rPr>
        <w:t>(7)</w:t>
      </w:r>
      <w:r w:rsidRPr="00746DFF">
        <w:rPr>
          <w:rFonts w:ascii="Arial Narrow" w:eastAsia="Times New Roman" w:hAnsi="Arial Narrow"/>
          <w:lang w:eastAsia="ro-RO"/>
        </w:rPr>
        <w:t>Directorul general al Oficiului Naţional al Registrului Comerţului poate dispune, prin decizie, ca din comisiile de analiză, comisiile de lucru, comisiile de verificare, comisiile de cercetare disciplinară şi altele asemenea să facă parte directorii generali adjuncţi, directorii oficiilor registrului comerţului de pe lângă tribunale, directorii adjuncţi ai oficiilor registrului comerţului de pe lângă tribunale, directorii de direcţii din cadrul Oficiului Naţional al Registrului Comerţului, şefii de servicii şi şefii de birouri din cadrul Oficiului Naţional al Registrului Comerţului ori din cadrul oficiilor registrului comerţului de pe lângă tribunale sau alţi salariaţi, după caz.</w:t>
      </w:r>
    </w:p>
    <w:p w:rsidR="00746DFF" w:rsidRPr="00746DFF" w:rsidRDefault="00746DFF" w:rsidP="00564606">
      <w:pPr>
        <w:shd w:val="clear" w:color="auto" w:fill="FFFFFF"/>
        <w:ind w:left="360"/>
        <w:jc w:val="both"/>
        <w:rPr>
          <w:rFonts w:ascii="Arial Narrow" w:eastAsia="Times New Roman" w:hAnsi="Arial Narrow"/>
          <w:lang w:eastAsia="ro-RO"/>
        </w:rPr>
      </w:pPr>
      <w:r w:rsidRPr="00746DFF">
        <w:rPr>
          <w:rFonts w:ascii="Arial Narrow" w:eastAsia="Times New Roman" w:hAnsi="Arial Narrow"/>
          <w:b/>
          <w:bCs/>
          <w:lang w:eastAsia="ro-RO"/>
        </w:rPr>
        <w:t>Art. 8</w:t>
      </w:r>
    </w:p>
    <w:p w:rsidR="00746DFF" w:rsidRPr="00746DFF" w:rsidRDefault="00746DFF" w:rsidP="00564606">
      <w:pPr>
        <w:shd w:val="clear" w:color="auto" w:fill="FFFFFF"/>
        <w:ind w:left="360"/>
        <w:jc w:val="both"/>
        <w:rPr>
          <w:rFonts w:ascii="Arial Narrow" w:eastAsia="Times New Roman" w:hAnsi="Arial Narrow"/>
          <w:lang w:eastAsia="ro-RO"/>
        </w:rPr>
      </w:pPr>
      <w:bookmarkStart w:id="20" w:name="do|caIII|si2|ar8|al1"/>
      <w:bookmarkEnd w:id="20"/>
      <w:r w:rsidRPr="00746DFF">
        <w:rPr>
          <w:rFonts w:ascii="Arial Narrow" w:eastAsia="Times New Roman" w:hAnsi="Arial Narrow"/>
          <w:b/>
          <w:bCs/>
          <w:lang w:eastAsia="ro-RO"/>
        </w:rPr>
        <w:t>(1)</w:t>
      </w:r>
      <w:r w:rsidRPr="00746DFF">
        <w:rPr>
          <w:rFonts w:ascii="Arial Narrow" w:eastAsia="Times New Roman" w:hAnsi="Arial Narrow"/>
          <w:lang w:eastAsia="ro-RO"/>
        </w:rPr>
        <w:t xml:space="preserve">Directorul general este ajutat în activitatea sa de 2 directori generali adjuncţi, selecţionaţi prin examen sau concurs şi numiţi în funcţie prin ordin al ministrului justiţiei, pentru un mandat de 4 ani, care poate fi reînnoit, în condiţiile legii şi potrivit Regulamentului de ocupare a funcţiilor de director general, director generai adjunct la Oficiul Naţional al Registrului Comerţului şi a funcţiilor de director, </w:t>
      </w:r>
      <w:proofErr w:type="spellStart"/>
      <w:r w:rsidRPr="00746DFF">
        <w:rPr>
          <w:rFonts w:ascii="Arial Narrow" w:eastAsia="Times New Roman" w:hAnsi="Arial Narrow"/>
          <w:lang w:eastAsia="ro-RO"/>
        </w:rPr>
        <w:t>director</w:t>
      </w:r>
      <w:proofErr w:type="spellEnd"/>
      <w:r w:rsidRPr="00746DFF">
        <w:rPr>
          <w:rFonts w:ascii="Arial Narrow" w:eastAsia="Times New Roman" w:hAnsi="Arial Narrow"/>
          <w:lang w:eastAsia="ro-RO"/>
        </w:rPr>
        <w:t xml:space="preserve"> adjunct la oficiile registrului comerţului de pe lângă tribunale, aprobat prin ordin al ministrului justiţiei.</w:t>
      </w:r>
    </w:p>
    <w:p w:rsidR="00746DFF" w:rsidRPr="00746DFF" w:rsidRDefault="00746DFF" w:rsidP="00564606">
      <w:pPr>
        <w:shd w:val="clear" w:color="auto" w:fill="FFFFFF"/>
        <w:ind w:left="360"/>
        <w:jc w:val="both"/>
        <w:rPr>
          <w:rFonts w:ascii="Arial Narrow" w:eastAsia="Times New Roman" w:hAnsi="Arial Narrow"/>
          <w:lang w:eastAsia="ro-RO"/>
        </w:rPr>
      </w:pPr>
      <w:bookmarkStart w:id="21" w:name="do|caIII|si2|ar8|al2"/>
      <w:bookmarkEnd w:id="21"/>
      <w:r w:rsidRPr="00746DFF">
        <w:rPr>
          <w:rFonts w:ascii="Arial Narrow" w:eastAsia="Times New Roman" w:hAnsi="Arial Narrow"/>
          <w:b/>
          <w:bCs/>
          <w:lang w:eastAsia="ro-RO"/>
        </w:rPr>
        <w:lastRenderedPageBreak/>
        <w:t>(2)</w:t>
      </w:r>
      <w:r w:rsidRPr="00746DFF">
        <w:rPr>
          <w:rFonts w:ascii="Arial Narrow" w:eastAsia="Times New Roman" w:hAnsi="Arial Narrow"/>
          <w:lang w:eastAsia="ro-RO"/>
        </w:rPr>
        <w:t>Directorii generali adjuncţi organizează, coordonează şi controlează activitatea Oficiului Naţional al Registrului Comerţului şi a oficiilor registrului comerţului de pe lângă tribunale, pe baza delegărilor de competenţă date de directorul general.</w:t>
      </w:r>
    </w:p>
    <w:p w:rsidR="00746DFF" w:rsidRPr="00746DFF" w:rsidRDefault="00746DFF" w:rsidP="00564606">
      <w:pPr>
        <w:shd w:val="clear" w:color="auto" w:fill="FFFFFF"/>
        <w:ind w:left="360"/>
        <w:jc w:val="both"/>
        <w:rPr>
          <w:rFonts w:ascii="Arial Narrow" w:eastAsia="Times New Roman" w:hAnsi="Arial Narrow"/>
          <w:lang w:eastAsia="ro-RO"/>
        </w:rPr>
      </w:pPr>
      <w:bookmarkStart w:id="22" w:name="do|caIII|si2|ar8|al3"/>
      <w:bookmarkEnd w:id="22"/>
      <w:r w:rsidRPr="00746DFF">
        <w:rPr>
          <w:rFonts w:ascii="Arial Narrow" w:eastAsia="Times New Roman" w:hAnsi="Arial Narrow"/>
          <w:b/>
          <w:bCs/>
          <w:lang w:eastAsia="ro-RO"/>
        </w:rPr>
        <w:t>(3)</w:t>
      </w:r>
      <w:r w:rsidRPr="00746DFF">
        <w:rPr>
          <w:rFonts w:ascii="Arial Narrow" w:eastAsia="Times New Roman" w:hAnsi="Arial Narrow"/>
          <w:lang w:eastAsia="ro-RO"/>
        </w:rPr>
        <w:t>Directorii generali adjuncţi reprezintă Oficiul Naţional al Registrului Comerţului în raporturile cu alte instituţii publice, pe baza delegărilor de competenţă şi de drept de semnătură date de către directorul general.</w:t>
      </w:r>
    </w:p>
    <w:p w:rsidR="00746DFF" w:rsidRPr="00746DFF" w:rsidRDefault="00746DFF" w:rsidP="00564606">
      <w:pPr>
        <w:shd w:val="clear" w:color="auto" w:fill="FFFFFF"/>
        <w:ind w:left="360"/>
        <w:jc w:val="both"/>
        <w:rPr>
          <w:rFonts w:ascii="Arial Narrow" w:eastAsia="Times New Roman" w:hAnsi="Arial Narrow"/>
          <w:lang w:eastAsia="ro-RO"/>
        </w:rPr>
      </w:pPr>
      <w:bookmarkStart w:id="23" w:name="do|caIII|si2|ar8|al4"/>
      <w:bookmarkEnd w:id="23"/>
      <w:r w:rsidRPr="00746DFF">
        <w:rPr>
          <w:rFonts w:ascii="Arial Narrow" w:eastAsia="Times New Roman" w:hAnsi="Arial Narrow"/>
          <w:b/>
          <w:bCs/>
          <w:lang w:eastAsia="ro-RO"/>
        </w:rPr>
        <w:t>(4)</w:t>
      </w:r>
      <w:r w:rsidRPr="00746DFF">
        <w:rPr>
          <w:rFonts w:ascii="Arial Narrow" w:eastAsia="Times New Roman" w:hAnsi="Arial Narrow"/>
          <w:lang w:eastAsia="ro-RO"/>
        </w:rPr>
        <w:t>Directorii generali adjuncţi îndeplinesc orice alte atribuţii rezultate din lege sau din dispoziţiile directorului general, specifice domeniului de activitate.</w:t>
      </w:r>
    </w:p>
    <w:p w:rsidR="00746DFF" w:rsidRPr="00746DFF" w:rsidRDefault="00746DFF" w:rsidP="00564606">
      <w:pPr>
        <w:shd w:val="clear" w:color="auto" w:fill="FFFFFF"/>
        <w:ind w:left="360"/>
        <w:jc w:val="both"/>
        <w:rPr>
          <w:rFonts w:ascii="Arial Narrow" w:eastAsia="Times New Roman" w:hAnsi="Arial Narrow"/>
          <w:lang w:eastAsia="ro-RO"/>
        </w:rPr>
      </w:pPr>
      <w:r w:rsidRPr="00746DFF">
        <w:rPr>
          <w:rFonts w:ascii="Arial Narrow" w:eastAsia="Times New Roman" w:hAnsi="Arial Narrow"/>
          <w:b/>
          <w:bCs/>
          <w:lang w:eastAsia="ro-RO"/>
        </w:rPr>
        <w:t>Art. 9</w:t>
      </w:r>
    </w:p>
    <w:p w:rsidR="00746DFF" w:rsidRPr="00746DFF" w:rsidRDefault="00746DFF" w:rsidP="00564606">
      <w:pPr>
        <w:shd w:val="clear" w:color="auto" w:fill="FFFFFF"/>
        <w:ind w:left="360"/>
        <w:jc w:val="both"/>
        <w:rPr>
          <w:rFonts w:ascii="Arial Narrow" w:eastAsia="Times New Roman" w:hAnsi="Arial Narrow"/>
          <w:lang w:eastAsia="ro-RO"/>
        </w:rPr>
      </w:pPr>
      <w:bookmarkStart w:id="24" w:name="do|caIII|si2|ar9|al1"/>
      <w:bookmarkEnd w:id="24"/>
      <w:r w:rsidRPr="00746DFF">
        <w:rPr>
          <w:rFonts w:ascii="Arial Narrow" w:eastAsia="Times New Roman" w:hAnsi="Arial Narrow"/>
          <w:b/>
          <w:bCs/>
          <w:lang w:eastAsia="ro-RO"/>
        </w:rPr>
        <w:t>(1)</w:t>
      </w:r>
      <w:r w:rsidRPr="00746DFF">
        <w:rPr>
          <w:rFonts w:ascii="Arial Narrow" w:eastAsia="Times New Roman" w:hAnsi="Arial Narrow"/>
          <w:lang w:eastAsia="ro-RO"/>
        </w:rPr>
        <w:t>Pentru aspecte care privesc organizarea şi funcţionarea registrului comerţului, ce revin Oficiului Naţional al Registrului Comerţului, directorul general numeşte, anual, prin decizie, Consiliul consultativ.</w:t>
      </w:r>
    </w:p>
    <w:p w:rsidR="00746DFF" w:rsidRPr="00746DFF" w:rsidRDefault="00746DFF" w:rsidP="00564606">
      <w:pPr>
        <w:shd w:val="clear" w:color="auto" w:fill="FFFFFF"/>
        <w:ind w:left="360"/>
        <w:jc w:val="both"/>
        <w:rPr>
          <w:rFonts w:ascii="Arial Narrow" w:eastAsia="Times New Roman" w:hAnsi="Arial Narrow"/>
          <w:lang w:eastAsia="ro-RO"/>
        </w:rPr>
      </w:pPr>
      <w:bookmarkStart w:id="25" w:name="do|caIII|si2|ar9|al2"/>
      <w:bookmarkEnd w:id="25"/>
      <w:r w:rsidRPr="00746DFF">
        <w:rPr>
          <w:rFonts w:ascii="Arial Narrow" w:eastAsia="Times New Roman" w:hAnsi="Arial Narrow"/>
          <w:b/>
          <w:bCs/>
          <w:lang w:eastAsia="ro-RO"/>
        </w:rPr>
        <w:t>(2)</w:t>
      </w:r>
      <w:r w:rsidRPr="00746DFF">
        <w:rPr>
          <w:rFonts w:ascii="Arial Narrow" w:eastAsia="Times New Roman" w:hAnsi="Arial Narrow"/>
          <w:lang w:eastAsia="ro-RO"/>
        </w:rPr>
        <w:t>Consiliul prevăzut la alin. (1) este organ consultativ şi este format din directorul general, directorii generali adjuncţi, directorii direcţiilor din cadrul Oficiului Naţional al Registrului Comerţului, directorul Oficiului Registrului Comerţului de pe lângă Tribunalul Bucureşti şi 4 directori ai oficiilor registrului comerţului de pe lângă tribunale, nominalizaţi anual, prin decizia directorului general, în condiţiile alin. (1). Lucrările de secretariat sunt asigurate de Direcţia contencios, directorul direcţiei desemnând o persoană în acest sens.</w:t>
      </w:r>
    </w:p>
    <w:p w:rsidR="00746DFF" w:rsidRPr="00746DFF" w:rsidRDefault="00746DFF" w:rsidP="00564606">
      <w:pPr>
        <w:shd w:val="clear" w:color="auto" w:fill="FFFFFF"/>
        <w:ind w:left="360"/>
        <w:jc w:val="both"/>
        <w:rPr>
          <w:rFonts w:ascii="Arial Narrow" w:eastAsia="Times New Roman" w:hAnsi="Arial Narrow"/>
          <w:lang w:eastAsia="ro-RO"/>
        </w:rPr>
      </w:pPr>
      <w:bookmarkStart w:id="26" w:name="do|caIII|si2|ar9|al3"/>
      <w:bookmarkEnd w:id="26"/>
      <w:r w:rsidRPr="00746DFF">
        <w:rPr>
          <w:rFonts w:ascii="Arial Narrow" w:eastAsia="Times New Roman" w:hAnsi="Arial Narrow"/>
          <w:b/>
          <w:bCs/>
          <w:lang w:eastAsia="ro-RO"/>
        </w:rPr>
        <w:t>(3)</w:t>
      </w:r>
      <w:r w:rsidRPr="00746DFF">
        <w:rPr>
          <w:rFonts w:ascii="Arial Narrow" w:eastAsia="Times New Roman" w:hAnsi="Arial Narrow"/>
          <w:lang w:eastAsia="ro-RO"/>
        </w:rPr>
        <w:t>Directorul general, în exercitarea prerogativelor reglementate de prezentul regulament, decide asupra aspectelor care privesc organizarea şi funcţionarea registrului comerţului ce pot fi supuse spre dezbatere în Consiliul consultativ.</w:t>
      </w:r>
    </w:p>
    <w:p w:rsidR="00746DFF" w:rsidRPr="00746DFF" w:rsidRDefault="00746DFF" w:rsidP="00564606">
      <w:pPr>
        <w:shd w:val="clear" w:color="auto" w:fill="FFFFFF"/>
        <w:ind w:left="360"/>
        <w:jc w:val="both"/>
        <w:rPr>
          <w:rFonts w:ascii="Arial Narrow" w:eastAsia="Times New Roman" w:hAnsi="Arial Narrow"/>
          <w:lang w:eastAsia="ro-RO"/>
        </w:rPr>
      </w:pPr>
      <w:bookmarkStart w:id="27" w:name="do|caIII|si2|ar9|al4"/>
      <w:bookmarkEnd w:id="27"/>
      <w:r w:rsidRPr="00746DFF">
        <w:rPr>
          <w:rFonts w:ascii="Arial Narrow" w:eastAsia="Times New Roman" w:hAnsi="Arial Narrow"/>
          <w:b/>
          <w:bCs/>
          <w:lang w:eastAsia="ro-RO"/>
        </w:rPr>
        <w:t>(4)</w:t>
      </w:r>
      <w:r w:rsidRPr="00746DFF">
        <w:rPr>
          <w:rFonts w:ascii="Arial Narrow" w:eastAsia="Times New Roman" w:hAnsi="Arial Narrow"/>
          <w:lang w:eastAsia="ro-RO"/>
        </w:rPr>
        <w:t>Consiliul consultativ se întruneşte ori de câte ori este necesar, la convocarea şi sub conducerea directorului general, care este preşedintele de drept, iar în lipsa acestuia, a unuia dintre directorii generali adjuncţi. Consiliul consultativ poate fi consultat şi prin corespondenţă.</w:t>
      </w:r>
    </w:p>
    <w:p w:rsidR="00746DFF" w:rsidRPr="00746DFF" w:rsidRDefault="00746DFF" w:rsidP="00564606">
      <w:pPr>
        <w:shd w:val="clear" w:color="auto" w:fill="FFFFFF"/>
        <w:ind w:left="360"/>
        <w:jc w:val="both"/>
        <w:rPr>
          <w:rFonts w:ascii="Arial Narrow" w:eastAsia="Times New Roman" w:hAnsi="Arial Narrow"/>
          <w:lang w:eastAsia="ro-RO"/>
        </w:rPr>
      </w:pPr>
      <w:bookmarkStart w:id="28" w:name="do|caIII|si2|ar9|al5"/>
      <w:bookmarkEnd w:id="28"/>
      <w:r w:rsidRPr="00746DFF">
        <w:rPr>
          <w:rFonts w:ascii="Arial Narrow" w:eastAsia="Times New Roman" w:hAnsi="Arial Narrow"/>
          <w:b/>
          <w:bCs/>
          <w:lang w:eastAsia="ro-RO"/>
        </w:rPr>
        <w:t>(5)</w:t>
      </w:r>
      <w:r w:rsidRPr="00746DFF">
        <w:rPr>
          <w:rFonts w:ascii="Arial Narrow" w:eastAsia="Times New Roman" w:hAnsi="Arial Narrow"/>
          <w:lang w:eastAsia="ro-RO"/>
        </w:rPr>
        <w:t>Hotărârile adoptate de Consiliul consultativ în exercitarea atribuţiilor sale se iau cu majoritatea simplă a voturilor exprimate de membrii prezenţi. În caz de paritate, votul directorului general este decisiv. Hotărârile adoptate se supun aprobării directorului general, prin decizie.</w:t>
      </w:r>
    </w:p>
    <w:p w:rsidR="00746DFF" w:rsidRPr="00746DFF" w:rsidRDefault="00746DFF" w:rsidP="00564606">
      <w:pPr>
        <w:shd w:val="clear" w:color="auto" w:fill="FFFFFF"/>
        <w:ind w:left="360"/>
        <w:jc w:val="both"/>
        <w:rPr>
          <w:rFonts w:ascii="Arial Narrow" w:eastAsia="Times New Roman" w:hAnsi="Arial Narrow"/>
          <w:lang w:eastAsia="ro-RO"/>
        </w:rPr>
      </w:pPr>
      <w:bookmarkStart w:id="29" w:name="do|caIII|si2|ar9|al6"/>
      <w:bookmarkEnd w:id="29"/>
      <w:r w:rsidRPr="00746DFF">
        <w:rPr>
          <w:rFonts w:ascii="Arial Narrow" w:eastAsia="Times New Roman" w:hAnsi="Arial Narrow"/>
          <w:b/>
          <w:bCs/>
          <w:lang w:eastAsia="ro-RO"/>
        </w:rPr>
        <w:t>(6)</w:t>
      </w:r>
      <w:r w:rsidRPr="00746DFF">
        <w:rPr>
          <w:rFonts w:ascii="Arial Narrow" w:eastAsia="Times New Roman" w:hAnsi="Arial Narrow"/>
          <w:lang w:eastAsia="ro-RO"/>
        </w:rPr>
        <w:t>Dezbaterile Consiliului consultativ sunt consemnate în procesul-verbal de şedinţă, care cuprinde discuţiile purtate, opiniile exprimate şi hotărârile adoptate.</w:t>
      </w:r>
    </w:p>
    <w:p w:rsidR="00CC7DC9" w:rsidRPr="00CC7DC9" w:rsidRDefault="00CC7DC9" w:rsidP="00564606">
      <w:pPr>
        <w:pStyle w:val="Listparagraf"/>
        <w:spacing w:before="100" w:beforeAutospacing="1" w:after="100" w:afterAutospacing="1" w:line="240" w:lineRule="auto"/>
        <w:jc w:val="both"/>
        <w:rPr>
          <w:rFonts w:ascii="Times New Roman" w:eastAsia="Times New Roman" w:hAnsi="Times New Roman" w:cs="Times New Roman"/>
          <w:sz w:val="24"/>
          <w:szCs w:val="24"/>
          <w:lang w:eastAsia="ro-RO"/>
        </w:rPr>
      </w:pPr>
    </w:p>
    <w:p w:rsidR="00CC7DC9" w:rsidRPr="00CC7DC9" w:rsidRDefault="00CC7DC9" w:rsidP="00564606">
      <w:pPr>
        <w:spacing w:before="100" w:beforeAutospacing="1" w:after="100" w:afterAutospacing="1" w:line="240" w:lineRule="auto"/>
        <w:jc w:val="both"/>
        <w:rPr>
          <w:rFonts w:ascii="Times New Roman" w:eastAsia="Times New Roman" w:hAnsi="Times New Roman" w:cs="Times New Roman"/>
          <w:sz w:val="24"/>
          <w:szCs w:val="24"/>
          <w:lang w:eastAsia="ro-RO"/>
        </w:rPr>
      </w:pPr>
      <w:r w:rsidRPr="00CC7DC9">
        <w:rPr>
          <w:rFonts w:ascii="Times New Roman" w:eastAsia="Times New Roman" w:hAnsi="Times New Roman" w:cs="Times New Roman"/>
          <w:sz w:val="24"/>
          <w:szCs w:val="24"/>
          <w:lang w:eastAsia="ro-RO"/>
        </w:rPr>
        <w:t> </w:t>
      </w:r>
    </w:p>
    <w:p w:rsidR="006E4874" w:rsidRDefault="006E4874" w:rsidP="00564606">
      <w:pPr>
        <w:jc w:val="both"/>
      </w:pPr>
      <w:bookmarkStart w:id="30" w:name="_GoBack"/>
      <w:bookmarkEnd w:id="30"/>
    </w:p>
    <w:sectPr w:rsidR="006E48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C230D"/>
    <w:multiLevelType w:val="hybridMultilevel"/>
    <w:tmpl w:val="AEFA2454"/>
    <w:lvl w:ilvl="0" w:tplc="FC643DB4">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DC9"/>
    <w:rsid w:val="00564606"/>
    <w:rsid w:val="006E4874"/>
    <w:rsid w:val="00746DFF"/>
    <w:rsid w:val="00CC7DC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3">
    <w:name w:val="heading 3"/>
    <w:basedOn w:val="Normal"/>
    <w:link w:val="Titlu3Caracter"/>
    <w:uiPriority w:val="9"/>
    <w:qFormat/>
    <w:rsid w:val="00CC7DC9"/>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basedOn w:val="Fontdeparagrafimplicit"/>
    <w:link w:val="Titlu3"/>
    <w:uiPriority w:val="9"/>
    <w:rsid w:val="00CC7DC9"/>
    <w:rPr>
      <w:rFonts w:ascii="Times New Roman" w:eastAsia="Times New Roman" w:hAnsi="Times New Roman" w:cs="Times New Roman"/>
      <w:b/>
      <w:bCs/>
      <w:sz w:val="27"/>
      <w:szCs w:val="27"/>
      <w:lang w:eastAsia="ro-RO"/>
    </w:rPr>
  </w:style>
  <w:style w:type="paragraph" w:styleId="NormalWeb">
    <w:name w:val="Normal (Web)"/>
    <w:basedOn w:val="Normal"/>
    <w:uiPriority w:val="99"/>
    <w:semiHidden/>
    <w:unhideWhenUsed/>
    <w:rsid w:val="00CC7DC9"/>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Fontdeparagrafimplicit"/>
    <w:uiPriority w:val="99"/>
    <w:semiHidden/>
    <w:unhideWhenUsed/>
    <w:rsid w:val="00CC7DC9"/>
    <w:rPr>
      <w:color w:val="0000FF"/>
      <w:u w:val="single"/>
    </w:rPr>
  </w:style>
  <w:style w:type="paragraph" w:styleId="Listparagraf">
    <w:name w:val="List Paragraph"/>
    <w:basedOn w:val="Normal"/>
    <w:uiPriority w:val="34"/>
    <w:qFormat/>
    <w:rsid w:val="00CC7DC9"/>
    <w:pPr>
      <w:ind w:left="720"/>
      <w:contextualSpacing/>
    </w:pPr>
  </w:style>
  <w:style w:type="paragraph" w:styleId="TextnBalon">
    <w:name w:val="Balloon Text"/>
    <w:basedOn w:val="Normal"/>
    <w:link w:val="TextnBalonCaracter"/>
    <w:uiPriority w:val="99"/>
    <w:semiHidden/>
    <w:unhideWhenUsed/>
    <w:rsid w:val="00746DFF"/>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46DFF"/>
    <w:rPr>
      <w:rFonts w:ascii="Tahoma" w:hAnsi="Tahoma" w:cs="Tahoma"/>
      <w:sz w:val="16"/>
      <w:szCs w:val="16"/>
    </w:rPr>
  </w:style>
  <w:style w:type="character" w:styleId="Robust">
    <w:name w:val="Strong"/>
    <w:basedOn w:val="Fontdeparagrafimplicit"/>
    <w:uiPriority w:val="22"/>
    <w:qFormat/>
    <w:rsid w:val="00564606"/>
    <w:rPr>
      <w:b/>
      <w:bCs/>
    </w:rPr>
  </w:style>
  <w:style w:type="character" w:styleId="HyperlinkParcurs">
    <w:name w:val="FollowedHyperlink"/>
    <w:basedOn w:val="Fontdeparagrafimplicit"/>
    <w:uiPriority w:val="99"/>
    <w:semiHidden/>
    <w:unhideWhenUsed/>
    <w:rsid w:val="005646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3">
    <w:name w:val="heading 3"/>
    <w:basedOn w:val="Normal"/>
    <w:link w:val="Titlu3Caracter"/>
    <w:uiPriority w:val="9"/>
    <w:qFormat/>
    <w:rsid w:val="00CC7DC9"/>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basedOn w:val="Fontdeparagrafimplicit"/>
    <w:link w:val="Titlu3"/>
    <w:uiPriority w:val="9"/>
    <w:rsid w:val="00CC7DC9"/>
    <w:rPr>
      <w:rFonts w:ascii="Times New Roman" w:eastAsia="Times New Roman" w:hAnsi="Times New Roman" w:cs="Times New Roman"/>
      <w:b/>
      <w:bCs/>
      <w:sz w:val="27"/>
      <w:szCs w:val="27"/>
      <w:lang w:eastAsia="ro-RO"/>
    </w:rPr>
  </w:style>
  <w:style w:type="paragraph" w:styleId="NormalWeb">
    <w:name w:val="Normal (Web)"/>
    <w:basedOn w:val="Normal"/>
    <w:uiPriority w:val="99"/>
    <w:semiHidden/>
    <w:unhideWhenUsed/>
    <w:rsid w:val="00CC7DC9"/>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Fontdeparagrafimplicit"/>
    <w:uiPriority w:val="99"/>
    <w:semiHidden/>
    <w:unhideWhenUsed/>
    <w:rsid w:val="00CC7DC9"/>
    <w:rPr>
      <w:color w:val="0000FF"/>
      <w:u w:val="single"/>
    </w:rPr>
  </w:style>
  <w:style w:type="paragraph" w:styleId="Listparagraf">
    <w:name w:val="List Paragraph"/>
    <w:basedOn w:val="Normal"/>
    <w:uiPriority w:val="34"/>
    <w:qFormat/>
    <w:rsid w:val="00CC7DC9"/>
    <w:pPr>
      <w:ind w:left="720"/>
      <w:contextualSpacing/>
    </w:pPr>
  </w:style>
  <w:style w:type="paragraph" w:styleId="TextnBalon">
    <w:name w:val="Balloon Text"/>
    <w:basedOn w:val="Normal"/>
    <w:link w:val="TextnBalonCaracter"/>
    <w:uiPriority w:val="99"/>
    <w:semiHidden/>
    <w:unhideWhenUsed/>
    <w:rsid w:val="00746DFF"/>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46DFF"/>
    <w:rPr>
      <w:rFonts w:ascii="Tahoma" w:hAnsi="Tahoma" w:cs="Tahoma"/>
      <w:sz w:val="16"/>
      <w:szCs w:val="16"/>
    </w:rPr>
  </w:style>
  <w:style w:type="character" w:styleId="Robust">
    <w:name w:val="Strong"/>
    <w:basedOn w:val="Fontdeparagrafimplicit"/>
    <w:uiPriority w:val="22"/>
    <w:qFormat/>
    <w:rsid w:val="00564606"/>
    <w:rPr>
      <w:b/>
      <w:bCs/>
    </w:rPr>
  </w:style>
  <w:style w:type="character" w:styleId="HyperlinkParcurs">
    <w:name w:val="FollowedHyperlink"/>
    <w:basedOn w:val="Fontdeparagrafimplicit"/>
    <w:uiPriority w:val="99"/>
    <w:semiHidden/>
    <w:unhideWhenUsed/>
    <w:rsid w:val="005646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95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sintact%203.0\cache\Legislatie\temp\00018404.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1428</Words>
  <Characters>8285</Characters>
  <Application>Microsoft Office Word</Application>
  <DocSecurity>0</DocSecurity>
  <Lines>69</Lines>
  <Paragraphs>19</Paragraphs>
  <ScaleCrop>false</ScaleCrop>
  <Company> </Company>
  <LinksUpToDate>false</LinksUpToDate>
  <CharactersWithSpaces>9694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gabriela.musat</dc:creator>
  <cp:keywords/>
  <dc:description/>
  <cp:lastModifiedBy>gabriela.musat</cp:lastModifiedBy>
  <cp:revision>3</cp:revision>
  <dcterms:created xsi:type="dcterms:W3CDTF">2016-03-17T07:26:00Z</dcterms:created>
  <dcterms:modified xsi:type="dcterms:W3CDTF">2016-03-18T10:01:00Z</dcterms:modified>
</cp:coreProperties>
</file>