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1720" w14:textId="77777777" w:rsid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ORDONANŢĂ DE URGENŢĂ nr. 192 din 5 noiembrie 2020 pentru modificarea </w:t>
      </w:r>
      <w:proofErr w:type="spellStart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completarea Legii nr. </w:t>
      </w:r>
      <w:hyperlink r:id="rId4" w:tooltip="privind unele măsuri pentru prevenirea şi combaterea efectelor pandemiei de COVID-19 (act publicat in M.Of. 396 din 15-mai-2020)" w:history="1">
        <w:r w:rsidRPr="00C149A6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55/2020</w:t>
        </w:r>
      </w:hyperlink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unele măsuri pentru prevenirea </w:t>
      </w:r>
      <w:proofErr w:type="spellStart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combaterea efectelor pandemiei de COVID-19, precum </w:t>
      </w:r>
      <w:proofErr w:type="spellStart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pentru modificarea lit. a) a art. 7 din Legea nr. </w:t>
      </w:r>
      <w:hyperlink r:id="rId5" w:history="1">
        <w:r w:rsidRPr="00C149A6">
          <w:rPr>
            <w:rFonts w:ascii="Verdana" w:eastAsia="Times New Roman" w:hAnsi="Verdana" w:cs="Times New Roman"/>
            <w:b/>
            <w:bCs/>
            <w:color w:val="333399"/>
            <w:sz w:val="26"/>
            <w:szCs w:val="26"/>
            <w:u w:val="single"/>
            <w:lang w:eastAsia="ro-RO"/>
          </w:rPr>
          <w:t>81/2018</w:t>
        </w:r>
      </w:hyperlink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privind reglementarea </w:t>
      </w:r>
      <w:proofErr w:type="spellStart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activităţii</w:t>
      </w:r>
      <w:proofErr w:type="spellEnd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telemuncă</w:t>
      </w:r>
      <w:proofErr w:type="spellEnd"/>
    </w:p>
    <w:p w14:paraId="11213F91" w14:textId="6689E902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149A6">
        <w:rPr>
          <w:rFonts w:ascii="Verdana" w:eastAsia="Times New Roman" w:hAnsi="Verdana" w:cs="Times New Roman"/>
          <w:lang w:eastAsia="ro-RO"/>
        </w:rPr>
        <w:br/>
      </w:r>
    </w:p>
    <w:p w14:paraId="439053C6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r w:rsidRPr="00C149A6">
        <w:rPr>
          <w:rFonts w:ascii="Verdana" w:eastAsia="Times New Roman" w:hAnsi="Verdana" w:cs="Times New Roman"/>
          <w:lang w:eastAsia="ro-RO"/>
        </w:rPr>
        <w:t xml:space="preserve">Legea nr. </w:t>
      </w:r>
      <w:hyperlink r:id="rId6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completările ulterioare, prevede la art. 38 alin. (1) faptul că "pe durata stării de alertă,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didactice ce impun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prezenţa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fizică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antepreşcolarilor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preşcolarilor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elevilor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se pot suspenda, la propunerea consiliului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administraţie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unităţii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preuniversitar, cu avizul inspectoratului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şcolar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/Inspectoratului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Şcolar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al Municipiului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direcţiei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Direcţiei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Sănătate Publică a Municipiului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cu aprobarea prin hotărâre a comitetului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/Comitetului Municipiului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pe baza argumentelor legale privind starea de sănătate".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Ştiind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că anul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şcolar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este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desfăşurare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că termenul pentru asigurarea cadrului legal necesar este foarte scurt, este necesară o nouă reglementare care să asigure o bună protejare a dreptului la sănătate corelat cu asigurarea dreptului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.</w:t>
      </w:r>
    </w:p>
    <w:p w14:paraId="12EAB251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C149A6">
        <w:rPr>
          <w:rFonts w:ascii="Verdana" w:eastAsia="Times New Roman" w:hAnsi="Verdana" w:cs="Times New Roman"/>
          <w:lang w:eastAsia="ro-RO"/>
        </w:rPr>
        <w:t xml:space="preserve">Caracterul urgent al prezentului act normativ decurge din faptul că starea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starea de alertă se instituie numai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cu aplicabilitate limitată atât în timp, iar suspendarea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didactice de predare, evaluare, care presupun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interacţiunea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poate să fie dispusă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din domeniu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afara acestor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deosebite fundamentat pe baza deciziilor dispuse de Comitetul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.</w:t>
      </w:r>
    </w:p>
    <w:p w14:paraId="50C789AB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3"/>
      <w:bookmarkEnd w:id="2"/>
      <w:r w:rsidRPr="00C149A6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potenţiale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limitări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interacţiunii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clasă/cursuri este imperios necesar să asigurăm cadrul juridic adecvat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implicit securitatea raporturilor juridice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privinţa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asigurării dreptului fundamental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, corelat cu asigurarea dreptului la sănătate.</w:t>
      </w:r>
    </w:p>
    <w:p w14:paraId="11F94076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4"/>
      <w:bookmarkEnd w:id="3"/>
      <w:r w:rsidRPr="00C149A6">
        <w:rPr>
          <w:rFonts w:ascii="Verdana" w:eastAsia="Times New Roman" w:hAnsi="Verdana" w:cs="Times New Roman"/>
          <w:lang w:eastAsia="ro-RO"/>
        </w:rPr>
        <w:t xml:space="preserve">Având în vedere faptul că neadoptarea prin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acestor măsuri imediate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reglementărilor pentru implementarea lor poate genera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disfuncţionalităţi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majore cu efecte negative asupra bunei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din sistemul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dar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asupra beneficiarilor dreptului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,</w:t>
      </w:r>
    </w:p>
    <w:p w14:paraId="222AB274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5"/>
      <w:bookmarkEnd w:id="4"/>
      <w:r w:rsidRPr="00C149A6">
        <w:rPr>
          <w:rFonts w:ascii="Verdana" w:eastAsia="Times New Roman" w:hAnsi="Verdana" w:cs="Times New Roman"/>
          <w:lang w:eastAsia="ro-RO"/>
        </w:rPr>
        <w:t xml:space="preserve">întrucât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educaţia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constituie prioritate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Guvernului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considerarea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necesităţii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instituirii, inclusiv la nivel legislativ, în contextul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existenţei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care împiedică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interacţiunea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a unor mecanisme care să asigure, în mod adecvat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cu prioritate, exercitarea dreptului fundamental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având în vedere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constituţională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sarcina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statului de a lua măsuri pentru asigurarea acestui drept,</w:t>
      </w:r>
    </w:p>
    <w:p w14:paraId="5B0CDFD6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6"/>
      <w:bookmarkEnd w:id="5"/>
      <w:r w:rsidRPr="00C149A6">
        <w:rPr>
          <w:rFonts w:ascii="Verdana" w:eastAsia="Times New Roman" w:hAnsi="Verdana" w:cs="Times New Roman"/>
          <w:lang w:eastAsia="ro-RO"/>
        </w:rPr>
        <w:t xml:space="preserve">pentru că se impune instituirea cadrului legal pentru asigurarea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didactice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epidemiologice actuale, stabilit de Comitetul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având în vedere faptul că neadoptarea acestor măsuri are efecte negative asupra bunei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din sistemul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dar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asupra elevilor în contextul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existenţei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excepţionale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care împiedică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interacţiunea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între elevi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cadrele didactice, adoptarea unor mecanisme care să asigure exercitarea dreptului fundamental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este imperios necesară.</w:t>
      </w:r>
    </w:p>
    <w:p w14:paraId="17F3EA77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7"/>
      <w:bookmarkEnd w:id="6"/>
      <w:proofErr w:type="spellStart"/>
      <w:r w:rsidRPr="00C149A6">
        <w:rPr>
          <w:rFonts w:ascii="Verdana" w:eastAsia="Times New Roman" w:hAnsi="Verdana" w:cs="Times New Roman"/>
          <w:lang w:eastAsia="ro-RO"/>
        </w:rPr>
        <w:lastRenderedPageBreak/>
        <w:t>Ştiind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că anul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şcolar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este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desfăşurare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regim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cadrele didactice trebuie să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ştie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cum să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organizeze activitatea de predare-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învăţare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-evaluare, prin asigurarea dreptului atât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educaţie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cât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sănătate al elevilor.</w:t>
      </w:r>
    </w:p>
    <w:p w14:paraId="037682EB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pa8"/>
      <w:bookmarkEnd w:id="7"/>
      <w:r w:rsidRPr="00C149A6">
        <w:rPr>
          <w:rFonts w:ascii="Verdana" w:eastAsia="Times New Roman" w:hAnsi="Verdana" w:cs="Times New Roman"/>
          <w:lang w:eastAsia="ro-RO"/>
        </w:rPr>
        <w:t xml:space="preserve">Deoarece toate aspectele de mai sus vizează interesul elevilor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constituie o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extraordinară a cărei reglementare nu poate fi amânată, se propune adoptarea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 proiectului propus.</w:t>
      </w:r>
    </w:p>
    <w:p w14:paraId="748920DF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pa9"/>
      <w:bookmarkEnd w:id="8"/>
      <w:r w:rsidRPr="00C149A6">
        <w:rPr>
          <w:rFonts w:ascii="Verdana" w:eastAsia="Times New Roman" w:hAnsi="Verdana" w:cs="Times New Roman"/>
          <w:lang w:eastAsia="ro-RO"/>
        </w:rPr>
        <w:t xml:space="preserve">Întrucât în actualul context epidemiologic se impune adaptarea cadrului legal prin stabilirea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posibilităţii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luării unor decizii aplicate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adaptate nevoilor locale, având în vedere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specifice fiecărei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administrativ-teritoriale, iar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potenţiale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limitări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interacţiunii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clasă/cursuri, dar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nivel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este imperios necesară asigurarea cadrului juridic adecvat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implicit securitatea raporturilor juridice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privinţa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asigurării dreptului fundamental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,</w:t>
      </w:r>
    </w:p>
    <w:p w14:paraId="4BBF115C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pa10"/>
      <w:bookmarkEnd w:id="9"/>
      <w:r w:rsidRPr="00C149A6">
        <w:rPr>
          <w:rFonts w:ascii="Verdana" w:eastAsia="Times New Roman" w:hAnsi="Verdana" w:cs="Times New Roman"/>
          <w:lang w:eastAsia="ro-RO"/>
        </w:rPr>
        <w:t xml:space="preserve">luând în considerare necesitatea asigurării unei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protecţii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adecvate pentru beneficiarii primari ai dreptului la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învăţătură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studenţi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personalul din sistemul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,</w:t>
      </w:r>
    </w:p>
    <w:p w14:paraId="7C09C41F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pa11"/>
      <w:bookmarkEnd w:id="10"/>
      <w:r w:rsidRPr="00C149A6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C149A6">
        <w:rPr>
          <w:rFonts w:ascii="Verdana" w:eastAsia="Times New Roman" w:hAnsi="Verdana" w:cs="Times New Roman"/>
          <w:lang w:eastAsia="ro-RO"/>
        </w:rPr>
        <w:t xml:space="preserve"> adoptă prezenta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.</w:t>
      </w:r>
    </w:p>
    <w:p w14:paraId="538E9DB9" w14:textId="77777777" w:rsid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11" w:name="do|arI"/>
    </w:p>
    <w:p w14:paraId="1DB5C0F7" w14:textId="356735FB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481080E" wp14:editId="3AED1993">
            <wp:extent cx="95250" cy="95250"/>
            <wp:effectExtent l="0" t="0" r="0" b="0"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  <w:r w:rsidRPr="00C149A6">
        <w:rPr>
          <w:rFonts w:ascii="Verdana" w:eastAsia="Times New Roman" w:hAnsi="Verdana" w:cs="Times New Roman"/>
          <w:b/>
          <w:bCs/>
          <w:color w:val="0000AF"/>
          <w:lang w:eastAsia="ro-RO"/>
        </w:rPr>
        <w:t>Art. I</w:t>
      </w:r>
    </w:p>
    <w:p w14:paraId="60B88631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I|pa1"/>
      <w:bookmarkEnd w:id="12"/>
      <w:r w:rsidRPr="00C149A6">
        <w:rPr>
          <w:rFonts w:ascii="Verdana" w:eastAsia="Times New Roman" w:hAnsi="Verdana" w:cs="Times New Roman"/>
          <w:lang w:eastAsia="ro-RO"/>
        </w:rPr>
        <w:t xml:space="preserve">Legea nr. </w:t>
      </w:r>
      <w:hyperlink r:id="rId9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combaterea efectelor pandemiei de COVID-19, publicată în Monitorul Oficial al României, Partea I, nr. 396 din 15 mai 2020, cu modificările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completările ulterioare, se modifică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se completează după cum urmează:</w:t>
      </w:r>
    </w:p>
    <w:p w14:paraId="2200E410" w14:textId="45AEBDAB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I|pt1"/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51EE651" wp14:editId="1A33862A">
            <wp:extent cx="95250" cy="95250"/>
            <wp:effectExtent l="0" t="0" r="0" b="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1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  <w:r w:rsidRPr="00C149A6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149A6">
        <w:rPr>
          <w:rFonts w:ascii="Verdana" w:eastAsia="Times New Roman" w:hAnsi="Verdana" w:cs="Times New Roman"/>
          <w:lang w:eastAsia="ro-RO"/>
        </w:rPr>
        <w:t xml:space="preserve">La articolul 13, litera a) se modifică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14:paraId="173A009F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I|pt1|pa1"/>
      <w:bookmarkEnd w:id="14"/>
      <w:r w:rsidRPr="00C149A6">
        <w:rPr>
          <w:rFonts w:ascii="Verdana" w:eastAsia="Times New Roman" w:hAnsi="Verdana" w:cs="Times New Roman"/>
          <w:lang w:eastAsia="ro-RO"/>
        </w:rPr>
        <w:t xml:space="preserve">"a) obligativitatea purtării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publice,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comerciale, mijloacele de transport în comun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locul de muncă;"</w:t>
      </w:r>
    </w:p>
    <w:p w14:paraId="2736A031" w14:textId="58897AB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I|pt2"/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D76742F" wp14:editId="615016D9">
            <wp:extent cx="95250" cy="95250"/>
            <wp:effectExtent l="0" t="0" r="0" b="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2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  <w:r w:rsidRPr="00C149A6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149A6">
        <w:rPr>
          <w:rFonts w:ascii="Verdana" w:eastAsia="Times New Roman" w:hAnsi="Verdana" w:cs="Times New Roman"/>
          <w:lang w:eastAsia="ro-RO"/>
        </w:rPr>
        <w:t xml:space="preserve">Articolul 17 se modifică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14:paraId="75AC35C3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I|pt2|pa1"/>
      <w:bookmarkEnd w:id="16"/>
      <w:r w:rsidRPr="00C149A6">
        <w:rPr>
          <w:rFonts w:ascii="Verdana" w:eastAsia="Times New Roman" w:hAnsi="Verdana" w:cs="Times New Roman"/>
          <w:lang w:eastAsia="ro-RO"/>
        </w:rPr>
        <w:t>"Art. 17</w:t>
      </w:r>
    </w:p>
    <w:p w14:paraId="6A97825B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I|pt2|pa2"/>
      <w:bookmarkEnd w:id="17"/>
      <w:r w:rsidRPr="00C149A6">
        <w:rPr>
          <w:rFonts w:ascii="Verdana" w:eastAsia="Times New Roman" w:hAnsi="Verdana" w:cs="Times New Roman"/>
          <w:lang w:eastAsia="ro-RO"/>
        </w:rPr>
        <w:t xml:space="preserve">Pe durata stării de alertă, angajatorii dispun munca la domiciliu sau în regim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acolo unde specificul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permite, cu respectarea prevederilor Legii nr. </w:t>
      </w:r>
      <w:hyperlink r:id="rId10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- </w:t>
      </w:r>
      <w:hyperlink r:id="rId11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muncii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ale Legii nr. </w:t>
      </w:r>
      <w:hyperlink r:id="rId12" w:tooltip="privind reglementarea activităţii de telemuncă (act publicat in M.Of. 296 din 02-apr-2018)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>."</w:t>
      </w:r>
    </w:p>
    <w:p w14:paraId="5170DB76" w14:textId="77202132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I|pt3"/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4542936" wp14:editId="13CB3E42">
            <wp:extent cx="95250" cy="95250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3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C149A6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149A6">
        <w:rPr>
          <w:rFonts w:ascii="Verdana" w:eastAsia="Times New Roman" w:hAnsi="Verdana" w:cs="Times New Roman"/>
          <w:lang w:eastAsia="ro-RO"/>
        </w:rPr>
        <w:t xml:space="preserve">Articolul 21 se modifică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14:paraId="71A0281D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I|pt3|pa1"/>
      <w:bookmarkEnd w:id="19"/>
      <w:r w:rsidRPr="00C149A6">
        <w:rPr>
          <w:rFonts w:ascii="Verdana" w:eastAsia="Times New Roman" w:hAnsi="Verdana" w:cs="Times New Roman"/>
          <w:lang w:eastAsia="ro-RO"/>
        </w:rPr>
        <w:t>"Art. 21</w:t>
      </w:r>
    </w:p>
    <w:p w14:paraId="282FD01B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I|pt3|pa2"/>
      <w:bookmarkEnd w:id="20"/>
      <w:r w:rsidRPr="00C149A6">
        <w:rPr>
          <w:rFonts w:ascii="Verdana" w:eastAsia="Times New Roman" w:hAnsi="Verdana" w:cs="Times New Roman"/>
          <w:lang w:eastAsia="ro-RO"/>
        </w:rPr>
        <w:t xml:space="preserve">Pe durata stării de alertă, prin derogare de la prevederile art. 118 alin. (1) din Legea nr. </w:t>
      </w:r>
      <w:hyperlink r:id="rId13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- </w:t>
      </w:r>
      <w:hyperlink r:id="rId14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Codul muncii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completările ulterioare, angajatorii din sistemul privat,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publice centrale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locale, indiferent de modul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finanţare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subordonare, precum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regiile autonome,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societăţile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companiile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societăţile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la care capitalul social este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deţinut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integral sau majoritar de stat ori de o unitate administrativ-teritorială, cu un număr mai mare de 50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salariaţi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organizează programul de lucru astfel încât personalul să fie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împărţit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în grupe care să înceapă, respectiv să termine activitatea la o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diferenţă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cel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o oră."</w:t>
      </w:r>
    </w:p>
    <w:p w14:paraId="4D4F611E" w14:textId="76A34F8C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I|pt4"/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BBDB2F1" wp14:editId="35BB89D4">
            <wp:extent cx="95250" cy="95250"/>
            <wp:effectExtent l="0" t="0" r="0" b="0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|pt4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  <w:r w:rsidRPr="00C149A6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149A6">
        <w:rPr>
          <w:rFonts w:ascii="Verdana" w:eastAsia="Times New Roman" w:hAnsi="Verdana" w:cs="Times New Roman"/>
          <w:lang w:eastAsia="ro-RO"/>
        </w:rPr>
        <w:t>La articolul 38, după alineatul (1</w:t>
      </w:r>
      <w:r w:rsidRPr="00C149A6">
        <w:rPr>
          <w:rFonts w:ascii="Verdana" w:eastAsia="Times New Roman" w:hAnsi="Verdana" w:cs="Times New Roman"/>
          <w:vertAlign w:val="superscript"/>
          <w:lang w:eastAsia="ro-RO"/>
        </w:rPr>
        <w:t>2</w:t>
      </w:r>
      <w:r w:rsidRPr="00C149A6">
        <w:rPr>
          <w:rFonts w:ascii="Verdana" w:eastAsia="Times New Roman" w:hAnsi="Verdana" w:cs="Times New Roman"/>
          <w:lang w:eastAsia="ro-RO"/>
        </w:rPr>
        <w:t>) se introduce un nou alineat, alineatul (1</w:t>
      </w:r>
      <w:r w:rsidRPr="00C149A6">
        <w:rPr>
          <w:rFonts w:ascii="Verdana" w:eastAsia="Times New Roman" w:hAnsi="Verdana" w:cs="Times New Roman"/>
          <w:vertAlign w:val="superscript"/>
          <w:lang w:eastAsia="ro-RO"/>
        </w:rPr>
        <w:t>3</w:t>
      </w:r>
      <w:r w:rsidRPr="00C149A6">
        <w:rPr>
          <w:rFonts w:ascii="Verdana" w:eastAsia="Times New Roman" w:hAnsi="Verdana" w:cs="Times New Roman"/>
          <w:lang w:eastAsia="ro-RO"/>
        </w:rPr>
        <w:t>), cu următorul cuprins:</w:t>
      </w:r>
    </w:p>
    <w:p w14:paraId="794D9669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arI|pt4|pa1"/>
      <w:bookmarkEnd w:id="22"/>
      <w:r w:rsidRPr="00C149A6">
        <w:rPr>
          <w:rFonts w:ascii="Verdana" w:eastAsia="Times New Roman" w:hAnsi="Verdana" w:cs="Times New Roman"/>
          <w:lang w:eastAsia="ro-RO"/>
        </w:rPr>
        <w:t>"(1</w:t>
      </w:r>
      <w:r w:rsidRPr="00C149A6">
        <w:rPr>
          <w:rFonts w:ascii="Verdana" w:eastAsia="Times New Roman" w:hAnsi="Verdana" w:cs="Times New Roman"/>
          <w:vertAlign w:val="superscript"/>
          <w:lang w:eastAsia="ro-RO"/>
        </w:rPr>
        <w:t>3</w:t>
      </w:r>
      <w:r w:rsidRPr="00C149A6">
        <w:rPr>
          <w:rFonts w:ascii="Verdana" w:eastAsia="Times New Roman" w:hAnsi="Verdana" w:cs="Times New Roman"/>
          <w:lang w:eastAsia="ro-RO"/>
        </w:rPr>
        <w:t xml:space="preserve">) În perioada noiembrie 2020-31 decembrie 2020, prin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excepţie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la prevederile alin. (1), prin ordin al ministrului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cercetării, în baza hotărârii Comitetului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analizei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epidemiologice la nivel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se pot dispune suspendarea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care impun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prezenţa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fizică 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antepreşcolarilor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preşcolarilor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elevilor în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continuarea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didactice în sistem on-line."</w:t>
      </w:r>
    </w:p>
    <w:p w14:paraId="2403808C" w14:textId="77777777" w:rsid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23" w:name="do|arII"/>
    </w:p>
    <w:p w14:paraId="3090242B" w14:textId="5DBC833C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149A6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786957A" wp14:editId="5E2CFA25">
            <wp:extent cx="95250" cy="95250"/>
            <wp:effectExtent l="0" t="0" r="0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II|_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  <w:r w:rsidRPr="00C149A6">
        <w:rPr>
          <w:rFonts w:ascii="Verdana" w:eastAsia="Times New Roman" w:hAnsi="Verdana" w:cs="Times New Roman"/>
          <w:b/>
          <w:bCs/>
          <w:color w:val="0000AF"/>
          <w:lang w:eastAsia="ro-RO"/>
        </w:rPr>
        <w:t>Art. II</w:t>
      </w:r>
    </w:p>
    <w:p w14:paraId="24C8605C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rII|pa1"/>
      <w:bookmarkEnd w:id="24"/>
      <w:r w:rsidRPr="00C149A6">
        <w:rPr>
          <w:rFonts w:ascii="Verdana" w:eastAsia="Times New Roman" w:hAnsi="Verdana" w:cs="Times New Roman"/>
          <w:lang w:eastAsia="ro-RO"/>
        </w:rPr>
        <w:t xml:space="preserve">La articolul 7 din Legea nr. </w:t>
      </w:r>
      <w:hyperlink r:id="rId15" w:tooltip="privind reglementarea activităţii de telemuncă (act publicat in M.Of. 296 din 02-apr-2018)" w:history="1">
        <w:r w:rsidRPr="00C149A6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C149A6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publicată în Monitorul Oficial al României, Partea I, nr. 296 din 2 aprilie 2018, litera a) se modifică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va avea următorul cuprins:</w:t>
      </w:r>
    </w:p>
    <w:p w14:paraId="362581FD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5" w:name="do|arII|pa2"/>
      <w:bookmarkEnd w:id="25"/>
      <w:r w:rsidRPr="00C149A6">
        <w:rPr>
          <w:rFonts w:ascii="Verdana" w:eastAsia="Times New Roman" w:hAnsi="Verdana" w:cs="Times New Roman"/>
          <w:lang w:eastAsia="ro-RO"/>
        </w:rPr>
        <w:t xml:space="preserve">"a) să asigure mijloacele aferente tehnologiei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informaţiei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/sau echipamentele de muncă sigure necesare prestării muncii,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părţile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putând conveni printr-un acord scris inclusiv să fie utilizate cele proprii ale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telesalariatului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, cu specificarea </w:t>
      </w:r>
      <w:proofErr w:type="spellStart"/>
      <w:r w:rsidRPr="00C149A6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C149A6">
        <w:rPr>
          <w:rFonts w:ascii="Verdana" w:eastAsia="Times New Roman" w:hAnsi="Verdana" w:cs="Times New Roman"/>
          <w:lang w:eastAsia="ro-RO"/>
        </w:rPr>
        <w:t xml:space="preserve"> de utilizare;"</w:t>
      </w:r>
    </w:p>
    <w:p w14:paraId="57F89536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pa12"/>
      <w:bookmarkEnd w:id="26"/>
      <w:r w:rsidRPr="00C149A6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149A6" w:rsidRPr="00C149A6" w14:paraId="5ED10306" w14:textId="77777777" w:rsidTr="00C149A6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76810B56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7" w:name="do|pa13"/>
            <w:bookmarkEnd w:id="27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4F9CD076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4DF62033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763E1C7D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Viceprim-ministru,</w:t>
            </w:r>
          </w:p>
          <w:p w14:paraId="47D7F10E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Raluca Turcan</w:t>
            </w:r>
          </w:p>
          <w:p w14:paraId="4247737D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educaţiei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cercetării,</w:t>
            </w:r>
          </w:p>
          <w:p w14:paraId="4A264E3D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Cristina Monica </w:t>
            </w:r>
            <w:proofErr w:type="spellStart"/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Anisie</w:t>
            </w:r>
            <w:proofErr w:type="spellEnd"/>
          </w:p>
          <w:p w14:paraId="3A944D1B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sănătăţii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65EE191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Romică-Andrei Baciu</w:t>
            </w: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10072EE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69460CF2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lucrărilor publice, dezvoltării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3F6B7CC0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Augustin-Cătălin Iapă</w:t>
            </w: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199DAD9D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511A2E09" w14:textId="77777777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muncii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protecţiei</w:t>
            </w:r>
            <w:proofErr w:type="spellEnd"/>
            <w:r w:rsidRPr="00C149A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sociale,</w:t>
            </w:r>
          </w:p>
          <w:p w14:paraId="12384D88" w14:textId="77777777" w:rsid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C149A6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Victoria Violeta Alexandru</w:t>
            </w:r>
          </w:p>
          <w:p w14:paraId="34E73E5B" w14:textId="77777777" w:rsid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  <w:p w14:paraId="6521D385" w14:textId="77777777" w:rsid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  <w:p w14:paraId="7464EC7A" w14:textId="264FF975" w:rsidR="00C149A6" w:rsidRPr="00C149A6" w:rsidRDefault="00C149A6" w:rsidP="00C149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</w:tbl>
    <w:p w14:paraId="136DDD04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pa14"/>
      <w:bookmarkEnd w:id="28"/>
      <w:r w:rsidRPr="00C149A6">
        <w:rPr>
          <w:rFonts w:ascii="Verdana" w:eastAsia="Times New Roman" w:hAnsi="Verdana" w:cs="Times New Roman"/>
          <w:lang w:eastAsia="ro-RO"/>
        </w:rPr>
        <w:t>Publicat în Monitorul Oficial cu numărul 1042 din data de 6 noiembrie 2020</w:t>
      </w:r>
    </w:p>
    <w:p w14:paraId="78C4A224" w14:textId="77777777" w:rsidR="00C149A6" w:rsidRPr="00C149A6" w:rsidRDefault="00C149A6" w:rsidP="00C149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68287CD" w14:textId="77777777" w:rsidR="0073680B" w:rsidRDefault="0073680B"/>
    <w:sectPr w:rsidR="0073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0"/>
    <w:rsid w:val="005C1E8E"/>
    <w:rsid w:val="0073680B"/>
    <w:rsid w:val="00997A04"/>
    <w:rsid w:val="00A01BB0"/>
    <w:rsid w:val="00C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1857"/>
  <w15:chartTrackingRefBased/>
  <w15:docId w15:val="{07A7FC55-0AB8-4E37-91F1-C3752EA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9A6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C149A6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C149A6"/>
  </w:style>
  <w:style w:type="character" w:customStyle="1" w:styleId="ar1">
    <w:name w:val="ar1"/>
    <w:basedOn w:val="DefaultParagraphFont"/>
    <w:rsid w:val="00C149A6"/>
    <w:rPr>
      <w:b/>
      <w:bCs/>
      <w:color w:val="0000AF"/>
      <w:sz w:val="22"/>
      <w:szCs w:val="22"/>
    </w:rPr>
  </w:style>
  <w:style w:type="character" w:customStyle="1" w:styleId="pt1">
    <w:name w:val="pt1"/>
    <w:basedOn w:val="DefaultParagraphFont"/>
    <w:rsid w:val="00C149A6"/>
    <w:rPr>
      <w:b/>
      <w:bCs/>
      <w:color w:val="8F0000"/>
    </w:rPr>
  </w:style>
  <w:style w:type="character" w:customStyle="1" w:styleId="tpt1">
    <w:name w:val="tpt1"/>
    <w:basedOn w:val="DefaultParagraphFont"/>
    <w:rsid w:val="00C1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6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2029412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140615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165610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7524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9412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195602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2104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916751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896290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97768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31958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09577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83954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0758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0937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44438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736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042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042047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8821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3621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492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182754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0310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330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292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2662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4730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661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169004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70094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35413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61842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914696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7106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41026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file:///C:\Users\alice.buciu\sintact%204.0\cache\Legislatie\temp198438\0014028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lice.buciu\sintact%204.0\cache\Legislatie\temp198438\00214095.HTML" TargetMode="External"/><Relationship Id="rId12" Type="http://schemas.openxmlformats.org/officeDocument/2006/relationships/hyperlink" Target="file:///C:\Users\alice.buciu\sintact%204.0\cache\Legislatie\temp198438\00192846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lice.buciu\sintact%204.0\cache\Legislatie\temp198438\00209451.htm" TargetMode="External"/><Relationship Id="rId11" Type="http://schemas.openxmlformats.org/officeDocument/2006/relationships/hyperlink" Target="file:///C:\Users\alice.buciu\sintact%204.0\cache\Legislatie\temp198438\00140285.htm" TargetMode="External"/><Relationship Id="rId5" Type="http://schemas.openxmlformats.org/officeDocument/2006/relationships/hyperlink" Target="file:///C:\Users\alice.buciu\sintact%204.0\cache\Legislatie\temp198438\00192846.htm" TargetMode="External"/><Relationship Id="rId15" Type="http://schemas.openxmlformats.org/officeDocument/2006/relationships/hyperlink" Target="file:///C:\Users\alice.buciu\sintact%204.0\cache\Legislatie\temp198438\00192846.htm" TargetMode="External"/><Relationship Id="rId10" Type="http://schemas.openxmlformats.org/officeDocument/2006/relationships/hyperlink" Target="file:///C:\Users\alice.buciu\sintact%204.0\cache\Legislatie\temp198438\00140284.htm" TargetMode="External"/><Relationship Id="rId4" Type="http://schemas.openxmlformats.org/officeDocument/2006/relationships/hyperlink" Target="file:///C:\Users\alice.buciu\sintact%204.0\cache\Legislatie\temp198438\00209451.htm" TargetMode="External"/><Relationship Id="rId9" Type="http://schemas.openxmlformats.org/officeDocument/2006/relationships/hyperlink" Target="file:///C:\Users\alice.buciu\sintact%204.0\cache\Legislatie\temp198438\00209451.htm" TargetMode="External"/><Relationship Id="rId14" Type="http://schemas.openxmlformats.org/officeDocument/2006/relationships/hyperlink" Target="file:///C:\Users\alice.buciu\sintact%204.0\cache\Legislatie\temp198438\0014028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1383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2</cp:revision>
  <dcterms:created xsi:type="dcterms:W3CDTF">2020-11-09T09:26:00Z</dcterms:created>
  <dcterms:modified xsi:type="dcterms:W3CDTF">2020-11-09T09:27:00Z</dcterms:modified>
</cp:coreProperties>
</file>