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0" w:name="do"/>
      <w:r>
        <w:rPr>
          <w:rFonts w:ascii="Verdana" w:eastAsia="Times New Roman" w:hAnsi="Verdana" w:cs="Times New Roman"/>
          <w:b/>
          <w:bCs/>
          <w:noProof/>
          <w:color w:val="333399"/>
          <w:lang w:eastAsia="ro-RO"/>
        </w:rPr>
        <w:drawing>
          <wp:inline distT="0" distB="0" distL="0" distR="0">
            <wp:extent cx="95250" cy="95250"/>
            <wp:effectExtent l="0" t="0" r="0" b="0"/>
            <wp:docPr id="10" name="Imagine 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A37E1A">
        <w:rPr>
          <w:rFonts w:ascii="Verdana" w:eastAsia="Times New Roman" w:hAnsi="Verdana" w:cs="Times New Roman"/>
          <w:b/>
          <w:bCs/>
          <w:sz w:val="26"/>
          <w:szCs w:val="26"/>
          <w:lang w:eastAsia="ro-RO"/>
        </w:rPr>
        <w:t>ORDIN nr. 1878/C din 6 iulie 2017 privind aprobarea tarifelor pentru eliberarea de către Oficiul Naţional al Registrului Comerţului şi oficiile registrului comerţului de pe lângă tribunale de copii ale Buletinului procedurilor de insolvenţă, copii certificate ale actelor de procedură publicate, pentru furnizarea de informaţii din Buletinul procedurilor de insolvenţă</w:t>
      </w:r>
      <w:r w:rsidRPr="00A37E1A">
        <w:rPr>
          <w:rFonts w:ascii="Verdana" w:eastAsia="Times New Roman" w:hAnsi="Verdana" w:cs="Times New Roman"/>
          <w:lang w:eastAsia="ro-RO"/>
        </w:rPr>
        <w:br/>
      </w:r>
      <w:bookmarkStart w:id="1" w:name="do|pa1"/>
      <w:bookmarkStart w:id="2" w:name="_GoBack"/>
      <w:bookmarkEnd w:id="1"/>
      <w:bookmarkEnd w:id="2"/>
      <w:r w:rsidRPr="00A37E1A">
        <w:rPr>
          <w:rFonts w:ascii="Verdana" w:eastAsia="Times New Roman" w:hAnsi="Verdana" w:cs="Times New Roman"/>
          <w:lang w:eastAsia="ro-RO"/>
        </w:rPr>
        <w:t xml:space="preserve">Având în vedere prevederile art. 3 pct. 1 şi art. 92 alin. (5) din Legea nr. </w:t>
      </w:r>
      <w:hyperlink r:id="rId7" w:history="1">
        <w:r w:rsidRPr="00A37E1A">
          <w:rPr>
            <w:rFonts w:ascii="Verdana" w:eastAsia="Times New Roman" w:hAnsi="Verdana" w:cs="Times New Roman"/>
            <w:b/>
            <w:bCs/>
            <w:color w:val="333399"/>
            <w:u w:val="single"/>
            <w:lang w:eastAsia="ro-RO"/>
          </w:rPr>
          <w:t>151/2015</w:t>
        </w:r>
      </w:hyperlink>
      <w:r w:rsidRPr="00A37E1A">
        <w:rPr>
          <w:rFonts w:ascii="Verdana" w:eastAsia="Times New Roman" w:hAnsi="Verdana" w:cs="Times New Roman"/>
          <w:lang w:eastAsia="ro-RO"/>
        </w:rPr>
        <w:t xml:space="preserve"> privind procedura insolvenţei persoanelor fizice şi ale art. 5 pct. 6 din Legea nr. </w:t>
      </w:r>
      <w:hyperlink r:id="rId8" w:history="1">
        <w:r w:rsidRPr="00A37E1A">
          <w:rPr>
            <w:rFonts w:ascii="Verdana" w:eastAsia="Times New Roman" w:hAnsi="Verdana" w:cs="Times New Roman"/>
            <w:b/>
            <w:bCs/>
            <w:color w:val="333399"/>
            <w:u w:val="single"/>
            <w:lang w:eastAsia="ro-RO"/>
          </w:rPr>
          <w:t>85/2014</w:t>
        </w:r>
      </w:hyperlink>
      <w:r w:rsidRPr="00A37E1A">
        <w:rPr>
          <w:rFonts w:ascii="Verdana" w:eastAsia="Times New Roman" w:hAnsi="Verdana" w:cs="Times New Roman"/>
          <w:lang w:eastAsia="ro-RO"/>
        </w:rPr>
        <w:t xml:space="preserve"> privind procedurile de prevenire a insolvenţei şi de insolvenţă, cu modificările şi completările ulterioare,</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3" w:name="do|pa2"/>
      <w:bookmarkEnd w:id="3"/>
      <w:r w:rsidRPr="00A37E1A">
        <w:rPr>
          <w:rFonts w:ascii="Verdana" w:eastAsia="Times New Roman" w:hAnsi="Verdana" w:cs="Times New Roman"/>
          <w:lang w:eastAsia="ro-RO"/>
        </w:rPr>
        <w:t xml:space="preserve">potrivit art. II din Legea nr. </w:t>
      </w:r>
      <w:hyperlink r:id="rId9" w:history="1">
        <w:r w:rsidRPr="00A37E1A">
          <w:rPr>
            <w:rFonts w:ascii="Verdana" w:eastAsia="Times New Roman" w:hAnsi="Verdana" w:cs="Times New Roman"/>
            <w:b/>
            <w:bCs/>
            <w:color w:val="333399"/>
            <w:u w:val="single"/>
            <w:lang w:eastAsia="ro-RO"/>
          </w:rPr>
          <w:t>149/2004</w:t>
        </w:r>
      </w:hyperlink>
      <w:r w:rsidRPr="00A37E1A">
        <w:rPr>
          <w:rFonts w:ascii="Verdana" w:eastAsia="Times New Roman" w:hAnsi="Verdana" w:cs="Times New Roman"/>
          <w:lang w:eastAsia="ro-RO"/>
        </w:rPr>
        <w:t xml:space="preserve"> pentru modificarea şi completarea Legii nr. </w:t>
      </w:r>
      <w:hyperlink r:id="rId10" w:history="1">
        <w:r w:rsidRPr="00A37E1A">
          <w:rPr>
            <w:rFonts w:ascii="Verdana" w:eastAsia="Times New Roman" w:hAnsi="Verdana" w:cs="Times New Roman"/>
            <w:b/>
            <w:bCs/>
            <w:color w:val="333399"/>
            <w:u w:val="single"/>
            <w:lang w:eastAsia="ro-RO"/>
          </w:rPr>
          <w:t>64/1995</w:t>
        </w:r>
      </w:hyperlink>
      <w:r w:rsidRPr="00A37E1A">
        <w:rPr>
          <w:rFonts w:ascii="Verdana" w:eastAsia="Times New Roman" w:hAnsi="Verdana" w:cs="Times New Roman"/>
          <w:lang w:eastAsia="ro-RO"/>
        </w:rPr>
        <w:t xml:space="preserve"> privind procedura reorganizării judiciare şi a falimentului, precum şi a altor acte normative cu incidenţă asupra acestei proceduri,</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4" w:name="do|pa3"/>
      <w:bookmarkEnd w:id="4"/>
      <w:r w:rsidRPr="00A37E1A">
        <w:rPr>
          <w:rFonts w:ascii="Verdana" w:eastAsia="Times New Roman" w:hAnsi="Verdana" w:cs="Times New Roman"/>
          <w:lang w:eastAsia="ro-RO"/>
        </w:rPr>
        <w:t xml:space="preserve">în temeiul art. 45 alin. (3) din Hotărârea Guvernului nr. </w:t>
      </w:r>
      <w:hyperlink r:id="rId11" w:history="1">
        <w:r w:rsidRPr="00A37E1A">
          <w:rPr>
            <w:rFonts w:ascii="Verdana" w:eastAsia="Times New Roman" w:hAnsi="Verdana" w:cs="Times New Roman"/>
            <w:b/>
            <w:bCs/>
            <w:color w:val="333399"/>
            <w:u w:val="single"/>
            <w:lang w:eastAsia="ro-RO"/>
          </w:rPr>
          <w:t>419/2017</w:t>
        </w:r>
      </w:hyperlink>
      <w:r w:rsidRPr="00A37E1A">
        <w:rPr>
          <w:rFonts w:ascii="Verdana" w:eastAsia="Times New Roman" w:hAnsi="Verdana" w:cs="Times New Roman"/>
          <w:lang w:eastAsia="ro-RO"/>
        </w:rPr>
        <w:t xml:space="preserve"> pentru aprobarea Normelor metodologice de aplicare a Legii nr. </w:t>
      </w:r>
      <w:hyperlink r:id="rId12" w:history="1">
        <w:r w:rsidRPr="00A37E1A">
          <w:rPr>
            <w:rFonts w:ascii="Verdana" w:eastAsia="Times New Roman" w:hAnsi="Verdana" w:cs="Times New Roman"/>
            <w:b/>
            <w:bCs/>
            <w:color w:val="333399"/>
            <w:u w:val="single"/>
            <w:lang w:eastAsia="ro-RO"/>
          </w:rPr>
          <w:t>151/2015</w:t>
        </w:r>
      </w:hyperlink>
      <w:r w:rsidRPr="00A37E1A">
        <w:rPr>
          <w:rFonts w:ascii="Verdana" w:eastAsia="Times New Roman" w:hAnsi="Verdana" w:cs="Times New Roman"/>
          <w:lang w:eastAsia="ro-RO"/>
        </w:rPr>
        <w:t xml:space="preserve"> privind procedura insolvenţei persoanelor fizice, a! art. 12 alin. (4) şi art. 15 din Hotărârea Guvernului nr. </w:t>
      </w:r>
      <w:hyperlink r:id="rId13" w:history="1">
        <w:r w:rsidRPr="00A37E1A">
          <w:rPr>
            <w:rFonts w:ascii="Verdana" w:eastAsia="Times New Roman" w:hAnsi="Verdana" w:cs="Times New Roman"/>
            <w:b/>
            <w:bCs/>
            <w:color w:val="333399"/>
            <w:u w:val="single"/>
            <w:lang w:eastAsia="ro-RO"/>
          </w:rPr>
          <w:t>460/2005</w:t>
        </w:r>
      </w:hyperlink>
      <w:r w:rsidRPr="00A37E1A">
        <w:rPr>
          <w:rFonts w:ascii="Verdana" w:eastAsia="Times New Roman" w:hAnsi="Verdana" w:cs="Times New Roman"/>
          <w:lang w:eastAsia="ro-RO"/>
        </w:rPr>
        <w:t xml:space="preserve"> privind conţinutul, etapele, condiţiile de finanţare, publicare si distribuire a Buletinului procedurilor de insolvenţă, cu modificările şi completările ulterioare, şi al art. 13 şi 36 din Hotărârea Guvernului nr. </w:t>
      </w:r>
      <w:hyperlink r:id="rId14" w:history="1">
        <w:r w:rsidRPr="00A37E1A">
          <w:rPr>
            <w:rFonts w:ascii="Verdana" w:eastAsia="Times New Roman" w:hAnsi="Verdana" w:cs="Times New Roman"/>
            <w:b/>
            <w:bCs/>
            <w:color w:val="333399"/>
            <w:u w:val="single"/>
            <w:lang w:eastAsia="ro-RO"/>
          </w:rPr>
          <w:t>652/2009</w:t>
        </w:r>
      </w:hyperlink>
      <w:r w:rsidRPr="00A37E1A">
        <w:rPr>
          <w:rFonts w:ascii="Verdana" w:eastAsia="Times New Roman" w:hAnsi="Verdana" w:cs="Times New Roman"/>
          <w:lang w:eastAsia="ro-RO"/>
        </w:rPr>
        <w:t xml:space="preserve"> privind organizarea şi funcţionarea Ministerului Justiţiei, cu modificările şi completările ulterioare,</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5" w:name="do|pa4"/>
      <w:bookmarkEnd w:id="5"/>
      <w:r w:rsidRPr="00A37E1A">
        <w:rPr>
          <w:rFonts w:ascii="Verdana" w:eastAsia="Times New Roman" w:hAnsi="Verdana" w:cs="Times New Roman"/>
          <w:b/>
          <w:bCs/>
          <w:lang w:eastAsia="ro-RO"/>
        </w:rPr>
        <w:t>ministrul justiţiei</w:t>
      </w:r>
      <w:r w:rsidRPr="00A37E1A">
        <w:rPr>
          <w:rFonts w:ascii="Verdana" w:eastAsia="Times New Roman" w:hAnsi="Verdana" w:cs="Times New Roman"/>
          <w:lang w:eastAsia="ro-RO"/>
        </w:rPr>
        <w:t xml:space="preserve"> emite următorul ordin:</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6" w:name="do|ar1"/>
      <w:r>
        <w:rPr>
          <w:rFonts w:ascii="Verdana" w:eastAsia="Times New Roman" w:hAnsi="Verdana" w:cs="Times New Roman"/>
          <w:b/>
          <w:bCs/>
          <w:noProof/>
          <w:color w:val="333399"/>
          <w:lang w:eastAsia="ro-RO"/>
        </w:rPr>
        <w:drawing>
          <wp:inline distT="0" distB="0" distL="0" distR="0">
            <wp:extent cx="95250" cy="95250"/>
            <wp:effectExtent l="0" t="0" r="0" b="0"/>
            <wp:docPr id="9" name="Imagine 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A37E1A">
        <w:rPr>
          <w:rFonts w:ascii="Verdana" w:eastAsia="Times New Roman" w:hAnsi="Verdana" w:cs="Times New Roman"/>
          <w:b/>
          <w:bCs/>
          <w:color w:val="0000AF"/>
          <w:lang w:eastAsia="ro-RO"/>
        </w:rPr>
        <w:t>Art. 1</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7" w:name="do|ar1|pa1"/>
      <w:bookmarkEnd w:id="7"/>
      <w:r w:rsidRPr="00A37E1A">
        <w:rPr>
          <w:rFonts w:ascii="Verdana" w:eastAsia="Times New Roman" w:hAnsi="Verdana" w:cs="Times New Roman"/>
          <w:lang w:eastAsia="ro-RO"/>
        </w:rPr>
        <w:t>Se aprobă tariful pentru eliberarea de către Oficiul Naţional al Registrului Comerţului şi oficiile registrului comerţului de pe lângă tribunale de copii ale Buletinului procedurilor de insolvenţă, inclusiv de copii ale Secţiunii "Debitori - persoane fizice cu obligaţii ce nu decurg din exploatarea unei întreprinderi" din cadrul Buletinului procedurilor de insolvenţă, prevăzut în anexa care face parte integrantă din prezentul ordin.</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8" w:name="do|ar2"/>
      <w:r>
        <w:rPr>
          <w:rFonts w:ascii="Verdana" w:eastAsia="Times New Roman" w:hAnsi="Verdana" w:cs="Times New Roman"/>
          <w:b/>
          <w:bCs/>
          <w:noProof/>
          <w:color w:val="333399"/>
          <w:lang w:eastAsia="ro-RO"/>
        </w:rPr>
        <w:drawing>
          <wp:inline distT="0" distB="0" distL="0" distR="0">
            <wp:extent cx="95250" cy="95250"/>
            <wp:effectExtent l="0" t="0" r="0" b="0"/>
            <wp:docPr id="8" name="Imagine 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
      <w:r w:rsidRPr="00A37E1A">
        <w:rPr>
          <w:rFonts w:ascii="Verdana" w:eastAsia="Times New Roman" w:hAnsi="Verdana" w:cs="Times New Roman"/>
          <w:b/>
          <w:bCs/>
          <w:color w:val="0000AF"/>
          <w:lang w:eastAsia="ro-RO"/>
        </w:rPr>
        <w:t>Art. 2</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9" w:name="do|ar2|pa1"/>
      <w:bookmarkEnd w:id="9"/>
      <w:r w:rsidRPr="00A37E1A">
        <w:rPr>
          <w:rFonts w:ascii="Verdana" w:eastAsia="Times New Roman" w:hAnsi="Verdana" w:cs="Times New Roman"/>
          <w:lang w:eastAsia="ro-RO"/>
        </w:rPr>
        <w:t>Se aprobă tariful pentru eliberarea de către Oficiul Naţional al Registrului Comerţului şi oficiile registrului comerţului de pe lângă tribunale de copii certificate ale actelor de procedură publicate în Buletinul procedurilor de insolvenţă, inclusiv de copii certificate ale actelor de procedură publicate în Secţiunea "Debitori - persoane fizice cu obligaţii ce nu decurg din exploatarea unei întreprinderi" din cadrul Buletinului procedurilor de insolvenţă, prevăzut în anexă.</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10" w:name="do|ar3"/>
      <w:r>
        <w:rPr>
          <w:rFonts w:ascii="Verdana" w:eastAsia="Times New Roman" w:hAnsi="Verdana" w:cs="Times New Roman"/>
          <w:b/>
          <w:bCs/>
          <w:noProof/>
          <w:color w:val="333399"/>
          <w:lang w:eastAsia="ro-RO"/>
        </w:rPr>
        <w:drawing>
          <wp:inline distT="0" distB="0" distL="0" distR="0">
            <wp:extent cx="95250" cy="95250"/>
            <wp:effectExtent l="0" t="0" r="0" b="0"/>
            <wp:docPr id="7" name="Imagine 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
      <w:r w:rsidRPr="00A37E1A">
        <w:rPr>
          <w:rFonts w:ascii="Verdana" w:eastAsia="Times New Roman" w:hAnsi="Verdana" w:cs="Times New Roman"/>
          <w:b/>
          <w:bCs/>
          <w:color w:val="0000AF"/>
          <w:lang w:eastAsia="ro-RO"/>
        </w:rPr>
        <w:t>Art. 3</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11" w:name="do|ar3|pa1"/>
      <w:bookmarkEnd w:id="11"/>
      <w:r w:rsidRPr="00A37E1A">
        <w:rPr>
          <w:rFonts w:ascii="Verdana" w:eastAsia="Times New Roman" w:hAnsi="Verdana" w:cs="Times New Roman"/>
          <w:lang w:eastAsia="ro-RO"/>
        </w:rPr>
        <w:t>Se aprobă tariful pentru furnizarea de către Oficiul Naţional al Registrului Comerţului şi oficiile registrului comerţului de pe lângă tribunale de informaţii din Buletinul procedurilor de insolvenţă, inclusiv de informaţii din Secţiunea "Debitori - persoane fizice cu obligaţii ce nu decurg din exploatarea unei întreprinderi" din cadrul Buletinului procedurilor de insolvenţă, prevăzut în anexă.</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12" w:name="do|ar4"/>
      <w:r>
        <w:rPr>
          <w:rFonts w:ascii="Verdana" w:eastAsia="Times New Roman" w:hAnsi="Verdana" w:cs="Times New Roman"/>
          <w:b/>
          <w:bCs/>
          <w:noProof/>
          <w:color w:val="333399"/>
          <w:lang w:eastAsia="ro-RO"/>
        </w:rPr>
        <w:drawing>
          <wp:inline distT="0" distB="0" distL="0" distR="0">
            <wp:extent cx="95250" cy="9525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
      <w:r w:rsidRPr="00A37E1A">
        <w:rPr>
          <w:rFonts w:ascii="Verdana" w:eastAsia="Times New Roman" w:hAnsi="Verdana" w:cs="Times New Roman"/>
          <w:b/>
          <w:bCs/>
          <w:color w:val="0000AF"/>
          <w:lang w:eastAsia="ro-RO"/>
        </w:rPr>
        <w:t>Art. 4</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13" w:name="do|ar4|pa1"/>
      <w:bookmarkEnd w:id="13"/>
      <w:r w:rsidRPr="00A37E1A">
        <w:rPr>
          <w:rFonts w:ascii="Verdana" w:eastAsia="Times New Roman" w:hAnsi="Verdana" w:cs="Times New Roman"/>
          <w:lang w:eastAsia="ro-RO"/>
        </w:rPr>
        <w:t>Tarifele prevăzute la art. 1-3 se actualizează anual cu rata inflaţiei</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14" w:name="do|ar5"/>
      <w:r>
        <w:rPr>
          <w:rFonts w:ascii="Verdana" w:eastAsia="Times New Roman" w:hAnsi="Verdana" w:cs="Times New Roman"/>
          <w:b/>
          <w:bCs/>
          <w:noProof/>
          <w:color w:val="333399"/>
          <w:lang w:eastAsia="ro-RO"/>
        </w:rPr>
        <w:drawing>
          <wp:inline distT="0" distB="0" distL="0" distR="0">
            <wp:extent cx="95250" cy="95250"/>
            <wp:effectExtent l="0" t="0" r="0" b="0"/>
            <wp:docPr id="5" name="Imagine 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A37E1A">
        <w:rPr>
          <w:rFonts w:ascii="Verdana" w:eastAsia="Times New Roman" w:hAnsi="Verdana" w:cs="Times New Roman"/>
          <w:b/>
          <w:bCs/>
          <w:color w:val="0000AF"/>
          <w:lang w:eastAsia="ro-RO"/>
        </w:rPr>
        <w:t>Art. 5</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15" w:name="do|ar5|al1"/>
      <w:bookmarkEnd w:id="15"/>
      <w:r w:rsidRPr="00A37E1A">
        <w:rPr>
          <w:rFonts w:ascii="Verdana" w:eastAsia="Times New Roman" w:hAnsi="Verdana" w:cs="Times New Roman"/>
          <w:b/>
          <w:bCs/>
          <w:color w:val="008F00"/>
          <w:lang w:eastAsia="ro-RO"/>
        </w:rPr>
        <w:t>(1)</w:t>
      </w:r>
      <w:r w:rsidRPr="00A37E1A">
        <w:rPr>
          <w:rFonts w:ascii="Verdana" w:eastAsia="Times New Roman" w:hAnsi="Verdana" w:cs="Times New Roman"/>
          <w:lang w:eastAsia="ro-RO"/>
        </w:rPr>
        <w:t xml:space="preserve">Informaţiile şi documentele prevăzute la art. 1-3 sunt eliberate cu titlu gratuit autorităţilor şi instituţiilor publice - CU excepţia celor finanţate integral din venituri proprii -, instanţelor judecătoreşti şi parchetelor de pe lângă acestea, </w:t>
      </w:r>
      <w:r w:rsidRPr="00A37E1A">
        <w:rPr>
          <w:rFonts w:ascii="Verdana" w:eastAsia="Times New Roman" w:hAnsi="Verdana" w:cs="Times New Roman"/>
          <w:lang w:eastAsia="ro-RO"/>
        </w:rPr>
        <w:lastRenderedPageBreak/>
        <w:t>misiunilor diplomatice acreditate, precum şi altor persoane juridice prevăzute de lege.</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16" w:name="do|ar5|al2"/>
      <w:bookmarkEnd w:id="16"/>
      <w:r w:rsidRPr="00A37E1A">
        <w:rPr>
          <w:rFonts w:ascii="Verdana" w:eastAsia="Times New Roman" w:hAnsi="Verdana" w:cs="Times New Roman"/>
          <w:b/>
          <w:bCs/>
          <w:color w:val="008F00"/>
          <w:lang w:eastAsia="ro-RO"/>
        </w:rPr>
        <w:t>(2)</w:t>
      </w:r>
      <w:r w:rsidRPr="00A37E1A">
        <w:rPr>
          <w:rFonts w:ascii="Verdana" w:eastAsia="Times New Roman" w:hAnsi="Verdana" w:cs="Times New Roman"/>
          <w:lang w:eastAsia="ro-RO"/>
        </w:rPr>
        <w:t>Oficiul Naţional al Registrului Comerţului şi oficiile registrului comerţului de pe lângă tribunale eliberează jurnaliştilor şi reprezentanţilor mijloacelor de informare în masă, cu titlu gratuit, exclusiv în scopul informării opiniei publice, informaţii punctuale înregistrate în Buletinul procedurilor de insolvenţă.</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17" w:name="do|ar5|al3"/>
      <w:bookmarkEnd w:id="17"/>
      <w:r w:rsidRPr="00A37E1A">
        <w:rPr>
          <w:rFonts w:ascii="Verdana" w:eastAsia="Times New Roman" w:hAnsi="Verdana" w:cs="Times New Roman"/>
          <w:b/>
          <w:bCs/>
          <w:color w:val="008F00"/>
          <w:lang w:eastAsia="ro-RO"/>
        </w:rPr>
        <w:t>(3)</w:t>
      </w:r>
      <w:r w:rsidRPr="00A37E1A">
        <w:rPr>
          <w:rFonts w:ascii="Verdana" w:eastAsia="Times New Roman" w:hAnsi="Verdana" w:cs="Times New Roman"/>
          <w:lang w:eastAsia="ro-RO"/>
        </w:rPr>
        <w:t>Informaţiile eliberate de Oficiul Naţional al Registrului Comerţului şi oficiile registrului comerţului de pe lângă tribunale se furnizează în limba română.</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18" w:name="do|ar6"/>
      <w:r>
        <w:rPr>
          <w:rFonts w:ascii="Verdana" w:eastAsia="Times New Roman" w:hAnsi="Verdana" w:cs="Times New Roman"/>
          <w:b/>
          <w:bCs/>
          <w:noProof/>
          <w:color w:val="333399"/>
          <w:lang w:eastAsia="ro-RO"/>
        </w:rPr>
        <w:drawing>
          <wp:inline distT="0" distB="0" distL="0" distR="0">
            <wp:extent cx="95250" cy="9525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
      <w:r w:rsidRPr="00A37E1A">
        <w:rPr>
          <w:rFonts w:ascii="Verdana" w:eastAsia="Times New Roman" w:hAnsi="Verdana" w:cs="Times New Roman"/>
          <w:b/>
          <w:bCs/>
          <w:color w:val="0000AF"/>
          <w:lang w:eastAsia="ro-RO"/>
        </w:rPr>
        <w:t>Art. 6</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19" w:name="do|ar6|al1"/>
      <w:bookmarkEnd w:id="19"/>
      <w:r w:rsidRPr="00A37E1A">
        <w:rPr>
          <w:rFonts w:ascii="Verdana" w:eastAsia="Times New Roman" w:hAnsi="Verdana" w:cs="Times New Roman"/>
          <w:b/>
          <w:bCs/>
          <w:color w:val="008F00"/>
          <w:lang w:eastAsia="ro-RO"/>
        </w:rPr>
        <w:t>(1)</w:t>
      </w:r>
      <w:r w:rsidRPr="00A37E1A">
        <w:rPr>
          <w:rFonts w:ascii="Verdana" w:eastAsia="Times New Roman" w:hAnsi="Verdana" w:cs="Times New Roman"/>
          <w:lang w:eastAsia="ro-RO"/>
        </w:rPr>
        <w:t>Tariful se poate achita în numerar, prin virament bancar în conturile deschise la Trezoreria Statului şi Online, prin portalul de servicii al Oficiului Naţional al Registrului Comerţului, precum şi prin intermediul Sistemului naţional electronic de plată online a taxelor şi impozitelor utilizând cârdul bancar.</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20" w:name="do|ar6|al2"/>
      <w:bookmarkEnd w:id="20"/>
      <w:r w:rsidRPr="00A37E1A">
        <w:rPr>
          <w:rFonts w:ascii="Verdana" w:eastAsia="Times New Roman" w:hAnsi="Verdana" w:cs="Times New Roman"/>
          <w:b/>
          <w:bCs/>
          <w:color w:val="008F00"/>
          <w:lang w:eastAsia="ro-RO"/>
        </w:rPr>
        <w:t>(2)</w:t>
      </w:r>
      <w:r w:rsidRPr="00A37E1A">
        <w:rPr>
          <w:rFonts w:ascii="Verdana" w:eastAsia="Times New Roman" w:hAnsi="Verdana" w:cs="Times New Roman"/>
          <w:lang w:eastAsia="ro-RO"/>
        </w:rPr>
        <w:t xml:space="preserve">În cazul în care se achită o sumă în plus faţă de suma stabilită prin prezentul ordin, tariful se va restitui potrivit dispoziţiilor Legii nr. </w:t>
      </w:r>
      <w:hyperlink r:id="rId15" w:history="1">
        <w:r w:rsidRPr="00A37E1A">
          <w:rPr>
            <w:rFonts w:ascii="Verdana" w:eastAsia="Times New Roman" w:hAnsi="Verdana" w:cs="Times New Roman"/>
            <w:b/>
            <w:bCs/>
            <w:color w:val="333399"/>
            <w:u w:val="single"/>
            <w:lang w:eastAsia="ro-RO"/>
          </w:rPr>
          <w:t>207/2015</w:t>
        </w:r>
      </w:hyperlink>
      <w:r w:rsidRPr="00A37E1A">
        <w:rPr>
          <w:rFonts w:ascii="Verdana" w:eastAsia="Times New Roman" w:hAnsi="Verdana" w:cs="Times New Roman"/>
          <w:lang w:eastAsia="ro-RO"/>
        </w:rPr>
        <w:t xml:space="preserve"> privind Codul de procedură fiscală, cu modificările şi completările ulterioare.</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21" w:name="do|ar7"/>
      <w:r>
        <w:rPr>
          <w:rFonts w:ascii="Verdana" w:eastAsia="Times New Roman" w:hAnsi="Verdana" w:cs="Times New Roman"/>
          <w:b/>
          <w:bCs/>
          <w:noProof/>
          <w:color w:val="333399"/>
          <w:lang w:eastAsia="ro-RO"/>
        </w:rPr>
        <w:drawing>
          <wp:inline distT="0" distB="0" distL="0" distR="0">
            <wp:extent cx="95250" cy="9525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
      <w:r w:rsidRPr="00A37E1A">
        <w:rPr>
          <w:rFonts w:ascii="Verdana" w:eastAsia="Times New Roman" w:hAnsi="Verdana" w:cs="Times New Roman"/>
          <w:b/>
          <w:bCs/>
          <w:color w:val="0000AF"/>
          <w:lang w:eastAsia="ro-RO"/>
        </w:rPr>
        <w:t>Art. 7</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22" w:name="do|ar7|pa1"/>
      <w:bookmarkEnd w:id="22"/>
      <w:r w:rsidRPr="00A37E1A">
        <w:rPr>
          <w:rFonts w:ascii="Verdana" w:eastAsia="Times New Roman" w:hAnsi="Verdana" w:cs="Times New Roman"/>
          <w:lang w:eastAsia="ro-RO"/>
        </w:rPr>
        <w:t xml:space="preserve">Tarifele prevăzute în anexă se aplică în termen de 30 de zile de la data publicării în Monitorul Oficial al României, Partea I, a prezentului ordin, dată de la care se abrogă prevederile Ordinului ministrului justiţiei nr. </w:t>
      </w:r>
      <w:hyperlink r:id="rId16" w:history="1">
        <w:r w:rsidRPr="00A37E1A">
          <w:rPr>
            <w:rFonts w:ascii="Verdana" w:eastAsia="Times New Roman" w:hAnsi="Verdana" w:cs="Times New Roman"/>
            <w:b/>
            <w:bCs/>
            <w:color w:val="333399"/>
            <w:u w:val="single"/>
            <w:lang w:eastAsia="ro-RO"/>
          </w:rPr>
          <w:t>521/C/2007</w:t>
        </w:r>
      </w:hyperlink>
      <w:r w:rsidRPr="00A37E1A">
        <w:rPr>
          <w:rFonts w:ascii="Verdana" w:eastAsia="Times New Roman" w:hAnsi="Verdana" w:cs="Times New Roman"/>
          <w:lang w:eastAsia="ro-RO"/>
        </w:rPr>
        <w:t xml:space="preserve"> privind aprobarea tarifelor pentru eliberarea de copii de pe Buletinul procedurilor de insolvenţă, copii certificate de pe actele de procedură publicate si furnizare de informaţii din Buletinul procedurilor de insolvenţă, publicat în Monitorul Oficial al României, Partea I, nr. 141 din 27 februarie 2007, iar pentru procedura insolvenţei persoanelor fizice tariful se aplică de la data intrării în vigoare a Legii nr. </w:t>
      </w:r>
      <w:hyperlink r:id="rId17" w:history="1">
        <w:r w:rsidRPr="00A37E1A">
          <w:rPr>
            <w:rFonts w:ascii="Verdana" w:eastAsia="Times New Roman" w:hAnsi="Verdana" w:cs="Times New Roman"/>
            <w:b/>
            <w:bCs/>
            <w:color w:val="333399"/>
            <w:u w:val="single"/>
            <w:lang w:eastAsia="ro-RO"/>
          </w:rPr>
          <w:t>151/2015</w:t>
        </w:r>
      </w:hyperlink>
      <w:r w:rsidRPr="00A37E1A">
        <w:rPr>
          <w:rFonts w:ascii="Verdana" w:eastAsia="Times New Roman" w:hAnsi="Verdana" w:cs="Times New Roman"/>
          <w:lang w:eastAsia="ro-RO"/>
        </w:rPr>
        <w:t xml:space="preserve"> privind procedura insolvenţei persoanelor fizice, cu modificările ulterioare.</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23" w:name="do|ar8"/>
      <w:r>
        <w:rPr>
          <w:rFonts w:ascii="Verdana" w:eastAsia="Times New Roman" w:hAnsi="Verdana" w:cs="Times New Roman"/>
          <w:b/>
          <w:bCs/>
          <w:noProof/>
          <w:color w:val="333399"/>
          <w:lang w:eastAsia="ro-RO"/>
        </w:rPr>
        <w:drawing>
          <wp:inline distT="0" distB="0" distL="0" distR="0">
            <wp:extent cx="95250" cy="9525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sidRPr="00A37E1A">
        <w:rPr>
          <w:rFonts w:ascii="Verdana" w:eastAsia="Times New Roman" w:hAnsi="Verdana" w:cs="Times New Roman"/>
          <w:b/>
          <w:bCs/>
          <w:color w:val="0000AF"/>
          <w:lang w:eastAsia="ro-RO"/>
        </w:rPr>
        <w:t>Art. 8</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24" w:name="do|ar8|pa1"/>
      <w:bookmarkEnd w:id="24"/>
      <w:r w:rsidRPr="00A37E1A">
        <w:rPr>
          <w:rFonts w:ascii="Verdana" w:eastAsia="Times New Roman" w:hAnsi="Verdana" w:cs="Times New Roman"/>
          <w:lang w:eastAsia="ro-RO"/>
        </w:rPr>
        <w:t>Prezentul ordin se publică în Monitorul Oficial al României, Partea I.</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25" w:name="do|pa5"/>
      <w:bookmarkEnd w:id="25"/>
      <w:r w:rsidRPr="00A37E1A">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A37E1A" w:rsidRPr="00A37E1A" w:rsidTr="00A37E1A">
        <w:trPr>
          <w:trHeight w:val="15"/>
          <w:tblCellSpacing w:w="0" w:type="dxa"/>
          <w:jc w:val="center"/>
        </w:trPr>
        <w:tc>
          <w:tcPr>
            <w:tcW w:w="0" w:type="auto"/>
            <w:hideMark/>
          </w:tcPr>
          <w:p w:rsidR="00A37E1A" w:rsidRPr="00A37E1A" w:rsidRDefault="00A37E1A" w:rsidP="00A37E1A">
            <w:pPr>
              <w:spacing w:after="0" w:line="240" w:lineRule="auto"/>
              <w:jc w:val="center"/>
              <w:rPr>
                <w:rFonts w:ascii="Verdana" w:eastAsia="Times New Roman" w:hAnsi="Verdana" w:cs="Times New Roman"/>
                <w:color w:val="000000"/>
                <w:sz w:val="16"/>
                <w:szCs w:val="16"/>
                <w:lang w:eastAsia="ro-RO"/>
              </w:rPr>
            </w:pPr>
            <w:bookmarkStart w:id="26" w:name="do|pa6"/>
            <w:bookmarkEnd w:id="26"/>
            <w:r w:rsidRPr="00A37E1A">
              <w:rPr>
                <w:rFonts w:ascii="Verdana" w:eastAsia="Times New Roman" w:hAnsi="Verdana" w:cs="Times New Roman"/>
                <w:color w:val="000000"/>
                <w:sz w:val="16"/>
                <w:szCs w:val="16"/>
                <w:lang w:eastAsia="ro-RO"/>
              </w:rPr>
              <w:t>p. Ministrul justiţiei,</w:t>
            </w:r>
          </w:p>
          <w:p w:rsidR="00A37E1A" w:rsidRPr="00A37E1A" w:rsidRDefault="00A37E1A" w:rsidP="00A37E1A">
            <w:pPr>
              <w:spacing w:after="0" w:line="240" w:lineRule="auto"/>
              <w:jc w:val="center"/>
              <w:rPr>
                <w:rFonts w:ascii="Verdana" w:eastAsia="Times New Roman" w:hAnsi="Verdana" w:cs="Times New Roman"/>
                <w:color w:val="000000"/>
                <w:sz w:val="16"/>
                <w:szCs w:val="16"/>
                <w:lang w:eastAsia="ro-RO"/>
              </w:rPr>
            </w:pPr>
            <w:r w:rsidRPr="00A37E1A">
              <w:rPr>
                <w:rFonts w:ascii="Verdana" w:eastAsia="Times New Roman" w:hAnsi="Verdana" w:cs="Times New Roman"/>
                <w:b/>
                <w:bCs/>
                <w:color w:val="000000"/>
                <w:sz w:val="16"/>
                <w:szCs w:val="16"/>
                <w:lang w:eastAsia="ro-RO"/>
              </w:rPr>
              <w:t>Sofia Mariana Moţ,</w:t>
            </w:r>
          </w:p>
          <w:p w:rsidR="00A37E1A" w:rsidRPr="00A37E1A" w:rsidRDefault="00A37E1A" w:rsidP="00A37E1A">
            <w:pPr>
              <w:spacing w:after="0" w:line="15" w:lineRule="atLeast"/>
              <w:jc w:val="center"/>
              <w:rPr>
                <w:rFonts w:ascii="Verdana" w:eastAsia="Times New Roman" w:hAnsi="Verdana" w:cs="Times New Roman"/>
                <w:color w:val="000000"/>
                <w:sz w:val="16"/>
                <w:szCs w:val="16"/>
                <w:lang w:eastAsia="ro-RO"/>
              </w:rPr>
            </w:pPr>
            <w:r w:rsidRPr="00A37E1A">
              <w:rPr>
                <w:rFonts w:ascii="Verdana" w:eastAsia="Times New Roman" w:hAnsi="Verdana" w:cs="Times New Roman"/>
                <w:color w:val="000000"/>
                <w:sz w:val="16"/>
                <w:szCs w:val="16"/>
                <w:lang w:eastAsia="ro-RO"/>
              </w:rPr>
              <w:t>secretar de stat</w:t>
            </w:r>
          </w:p>
        </w:tc>
      </w:tr>
    </w:tbl>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27" w:name="do|ax1"/>
      <w:r>
        <w:rPr>
          <w:rFonts w:ascii="Verdana" w:eastAsia="Times New Roman" w:hAnsi="Verdana" w:cs="Times New Roman"/>
          <w:b/>
          <w:bCs/>
          <w:noProof/>
          <w:color w:val="333399"/>
          <w:lang w:eastAsia="ro-RO"/>
        </w:rPr>
        <w:drawing>
          <wp:inline distT="0" distB="0" distL="0" distR="0">
            <wp:extent cx="95250" cy="95250"/>
            <wp:effectExtent l="0" t="0" r="0" b="0"/>
            <wp:docPr id="1" name="Imagine 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
      <w:r w:rsidRPr="00A37E1A">
        <w:rPr>
          <w:rFonts w:ascii="Verdana" w:eastAsia="Times New Roman" w:hAnsi="Verdana" w:cs="Times New Roman"/>
          <w:b/>
          <w:bCs/>
          <w:sz w:val="26"/>
          <w:szCs w:val="26"/>
          <w:lang w:eastAsia="ro-RO"/>
        </w:rPr>
        <w:t>ANEXĂ:</w:t>
      </w:r>
      <w:r w:rsidRPr="00A37E1A">
        <w:rPr>
          <w:rFonts w:ascii="Verdana" w:eastAsia="Times New Roman" w:hAnsi="Verdana" w:cs="Times New Roman"/>
          <w:lang w:eastAsia="ro-RO"/>
        </w:rPr>
        <w:t xml:space="preserve"> </w:t>
      </w:r>
      <w:r w:rsidRPr="00A37E1A">
        <w:rPr>
          <w:rFonts w:ascii="Verdana" w:eastAsia="Times New Roman" w:hAnsi="Verdana" w:cs="Times New Roman"/>
          <w:b/>
          <w:bCs/>
          <w:sz w:val="26"/>
          <w:szCs w:val="26"/>
          <w:lang w:eastAsia="ro-RO"/>
        </w:rPr>
        <w:t>TARIFELE pentru eliberarea de către Oficiul Naţional al Registrului Comerţului şi oficiile registrului comerţului de pe lângă tribunale de copil ale Buletinului procedurilor de Insolvenţă, copil certificate ale actelor de procedură publicate, pentru furnizarea de Informaţii din Buletinul procedurilor de insolvenţă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3"/>
        <w:gridCol w:w="6386"/>
        <w:gridCol w:w="2516"/>
      </w:tblGrid>
      <w:tr w:rsidR="00A37E1A" w:rsidRPr="00A37E1A" w:rsidTr="00A37E1A">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A37E1A" w:rsidRPr="00A37E1A" w:rsidRDefault="00A37E1A" w:rsidP="00A37E1A">
            <w:pPr>
              <w:spacing w:after="0" w:line="240" w:lineRule="auto"/>
              <w:jc w:val="center"/>
              <w:rPr>
                <w:rFonts w:ascii="Verdana" w:eastAsia="Times New Roman" w:hAnsi="Verdana" w:cs="Times New Roman"/>
                <w:color w:val="000000"/>
                <w:sz w:val="16"/>
                <w:szCs w:val="16"/>
                <w:lang w:eastAsia="ro-RO"/>
              </w:rPr>
            </w:pPr>
            <w:bookmarkStart w:id="28" w:name="do|ax1|pa1"/>
            <w:bookmarkEnd w:id="28"/>
            <w:r w:rsidRPr="00A37E1A">
              <w:rPr>
                <w:rFonts w:ascii="Verdana" w:eastAsia="Times New Roman" w:hAnsi="Verdana" w:cs="Times New Roman"/>
                <w:color w:val="000000"/>
                <w:sz w:val="16"/>
                <w:szCs w:val="16"/>
                <w:lang w:eastAsia="ro-RO"/>
              </w:rPr>
              <w:t>Nr. crt.</w:t>
            </w:r>
          </w:p>
        </w:tc>
        <w:tc>
          <w:tcPr>
            <w:tcW w:w="3300" w:type="pct"/>
            <w:tcBorders>
              <w:top w:val="outset" w:sz="6" w:space="0" w:color="auto"/>
              <w:left w:val="outset" w:sz="6" w:space="0" w:color="auto"/>
              <w:bottom w:val="outset" w:sz="6" w:space="0" w:color="auto"/>
              <w:right w:val="outset" w:sz="6" w:space="0" w:color="auto"/>
            </w:tcBorders>
            <w:vAlign w:val="center"/>
            <w:hideMark/>
          </w:tcPr>
          <w:p w:rsidR="00A37E1A" w:rsidRPr="00A37E1A" w:rsidRDefault="00A37E1A" w:rsidP="00A37E1A">
            <w:pPr>
              <w:spacing w:after="0" w:line="240" w:lineRule="auto"/>
              <w:jc w:val="center"/>
              <w:rPr>
                <w:rFonts w:ascii="Verdana" w:eastAsia="Times New Roman" w:hAnsi="Verdana" w:cs="Times New Roman"/>
                <w:color w:val="000000"/>
                <w:sz w:val="16"/>
                <w:szCs w:val="16"/>
                <w:lang w:eastAsia="ro-RO"/>
              </w:rPr>
            </w:pPr>
            <w:r w:rsidRPr="00A37E1A">
              <w:rPr>
                <w:rFonts w:ascii="Verdana" w:eastAsia="Times New Roman" w:hAnsi="Verdana" w:cs="Times New Roman"/>
                <w:color w:val="000000"/>
                <w:sz w:val="16"/>
                <w:szCs w:val="16"/>
                <w:lang w:eastAsia="ro-RO"/>
              </w:rPr>
              <w:t>Denumirea operaţiunii</w:t>
            </w:r>
          </w:p>
        </w:tc>
        <w:tc>
          <w:tcPr>
            <w:tcW w:w="1300" w:type="pct"/>
            <w:tcBorders>
              <w:top w:val="outset" w:sz="6" w:space="0" w:color="auto"/>
              <w:left w:val="outset" w:sz="6" w:space="0" w:color="auto"/>
              <w:bottom w:val="outset" w:sz="6" w:space="0" w:color="auto"/>
              <w:right w:val="outset" w:sz="6" w:space="0" w:color="auto"/>
            </w:tcBorders>
            <w:vAlign w:val="center"/>
            <w:hideMark/>
          </w:tcPr>
          <w:p w:rsidR="00A37E1A" w:rsidRPr="00A37E1A" w:rsidRDefault="00A37E1A" w:rsidP="00A37E1A">
            <w:pPr>
              <w:spacing w:after="0" w:line="240" w:lineRule="auto"/>
              <w:jc w:val="center"/>
              <w:rPr>
                <w:rFonts w:ascii="Verdana" w:eastAsia="Times New Roman" w:hAnsi="Verdana" w:cs="Times New Roman"/>
                <w:color w:val="000000"/>
                <w:sz w:val="16"/>
                <w:szCs w:val="16"/>
                <w:lang w:eastAsia="ro-RO"/>
              </w:rPr>
            </w:pPr>
            <w:r w:rsidRPr="00A37E1A">
              <w:rPr>
                <w:rFonts w:ascii="Verdana" w:eastAsia="Times New Roman" w:hAnsi="Verdana" w:cs="Times New Roman"/>
                <w:color w:val="000000"/>
                <w:sz w:val="16"/>
                <w:szCs w:val="16"/>
                <w:lang w:eastAsia="ro-RO"/>
              </w:rPr>
              <w:t>Tarif</w:t>
            </w:r>
          </w:p>
          <w:p w:rsidR="00A37E1A" w:rsidRPr="00A37E1A" w:rsidRDefault="00A37E1A" w:rsidP="00A37E1A">
            <w:pPr>
              <w:spacing w:after="0" w:line="240" w:lineRule="auto"/>
              <w:jc w:val="center"/>
              <w:rPr>
                <w:rFonts w:ascii="Verdana" w:eastAsia="Times New Roman" w:hAnsi="Verdana" w:cs="Times New Roman"/>
                <w:color w:val="000000"/>
                <w:sz w:val="16"/>
                <w:szCs w:val="16"/>
                <w:lang w:eastAsia="ro-RO"/>
              </w:rPr>
            </w:pPr>
            <w:r w:rsidRPr="00A37E1A">
              <w:rPr>
                <w:rFonts w:ascii="Verdana" w:eastAsia="Times New Roman" w:hAnsi="Verdana" w:cs="Times New Roman"/>
                <w:color w:val="000000"/>
                <w:sz w:val="16"/>
                <w:szCs w:val="16"/>
                <w:lang w:eastAsia="ro-RO"/>
              </w:rPr>
              <w:t>- lei -</w:t>
            </w:r>
          </w:p>
        </w:tc>
      </w:tr>
      <w:tr w:rsidR="00A37E1A" w:rsidRPr="00A37E1A" w:rsidTr="00A37E1A">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A37E1A" w:rsidRPr="00A37E1A" w:rsidRDefault="00A37E1A" w:rsidP="00A37E1A">
            <w:pPr>
              <w:spacing w:after="0" w:line="240" w:lineRule="auto"/>
              <w:jc w:val="center"/>
              <w:rPr>
                <w:rFonts w:ascii="Verdana" w:eastAsia="Times New Roman" w:hAnsi="Verdana" w:cs="Times New Roman"/>
                <w:color w:val="000000"/>
                <w:sz w:val="16"/>
                <w:szCs w:val="16"/>
                <w:lang w:eastAsia="ro-RO"/>
              </w:rPr>
            </w:pPr>
            <w:r w:rsidRPr="00A37E1A">
              <w:rPr>
                <w:rFonts w:ascii="Verdana" w:eastAsia="Times New Roman" w:hAnsi="Verdana" w:cs="Times New Roman"/>
                <w:color w:val="000000"/>
                <w:sz w:val="16"/>
                <w:szCs w:val="16"/>
                <w:lang w:eastAsia="ro-RO"/>
              </w:rPr>
              <w:t>1.</w:t>
            </w:r>
          </w:p>
        </w:tc>
        <w:tc>
          <w:tcPr>
            <w:tcW w:w="3300" w:type="pct"/>
            <w:tcBorders>
              <w:top w:val="outset" w:sz="6" w:space="0" w:color="auto"/>
              <w:left w:val="outset" w:sz="6" w:space="0" w:color="auto"/>
              <w:bottom w:val="outset" w:sz="6" w:space="0" w:color="auto"/>
              <w:right w:val="outset" w:sz="6" w:space="0" w:color="auto"/>
            </w:tcBorders>
            <w:vAlign w:val="center"/>
            <w:hideMark/>
          </w:tcPr>
          <w:p w:rsidR="00A37E1A" w:rsidRPr="00A37E1A" w:rsidRDefault="00A37E1A" w:rsidP="00A37E1A">
            <w:pPr>
              <w:spacing w:after="0" w:line="240" w:lineRule="auto"/>
              <w:rPr>
                <w:rFonts w:ascii="Verdana" w:eastAsia="Times New Roman" w:hAnsi="Verdana" w:cs="Times New Roman"/>
                <w:color w:val="000000"/>
                <w:sz w:val="16"/>
                <w:szCs w:val="16"/>
                <w:lang w:eastAsia="ro-RO"/>
              </w:rPr>
            </w:pPr>
            <w:r w:rsidRPr="00A37E1A">
              <w:rPr>
                <w:rFonts w:ascii="Verdana" w:eastAsia="Times New Roman" w:hAnsi="Verdana" w:cs="Times New Roman"/>
                <w:color w:val="000000"/>
                <w:sz w:val="16"/>
                <w:szCs w:val="16"/>
                <w:lang w:eastAsia="ro-RO"/>
              </w:rPr>
              <w:t>Cerere eliberare informaţii - denumire, formă juridică, cod de identificare fiscală, număr de înregistrare, registrul în care este înregistrată persoana juridică, date de identificare a debitorului persoană fizică: nume, prenume, domiciliu, date de identificare a administratorului judiciar/lichidatorului judiciar: denumire, formă juridică, cod de identificare fiscală, numărul matricol din Tabloul practicienilor în insolvenţă; date de identificare a administratorului procedurii/lichidatorului: denumire, cod de identificare fiscală, domiciliu/sediul social, număr de înscriere în Lista administratorilor procedurii şi lichidatorilor pentru procedura insolvenţei persoanelor fizice; alte informaţii: număr şi an dosar, comisia de insolvenţă/instanţa judecătorească, tip procedură de insolvenţă, termene de judecată, numerele de buletin în care sunt publicate acte de procedură, actele de procedură publicate, date de identificare a creditorilor, alte informaţii</w:t>
            </w:r>
          </w:p>
        </w:tc>
        <w:tc>
          <w:tcPr>
            <w:tcW w:w="1300" w:type="pct"/>
            <w:tcBorders>
              <w:top w:val="outset" w:sz="6" w:space="0" w:color="auto"/>
              <w:left w:val="outset" w:sz="6" w:space="0" w:color="auto"/>
              <w:bottom w:val="outset" w:sz="6" w:space="0" w:color="auto"/>
              <w:right w:val="outset" w:sz="6" w:space="0" w:color="auto"/>
            </w:tcBorders>
            <w:vAlign w:val="center"/>
            <w:hideMark/>
          </w:tcPr>
          <w:p w:rsidR="00A37E1A" w:rsidRPr="00A37E1A" w:rsidRDefault="00A37E1A" w:rsidP="00A37E1A">
            <w:pPr>
              <w:spacing w:after="0" w:line="240" w:lineRule="auto"/>
              <w:jc w:val="center"/>
              <w:rPr>
                <w:rFonts w:ascii="Verdana" w:eastAsia="Times New Roman" w:hAnsi="Verdana" w:cs="Times New Roman"/>
                <w:color w:val="000000"/>
                <w:sz w:val="16"/>
                <w:szCs w:val="16"/>
                <w:lang w:eastAsia="ro-RO"/>
              </w:rPr>
            </w:pPr>
            <w:r w:rsidRPr="00A37E1A">
              <w:rPr>
                <w:rFonts w:ascii="Verdana" w:eastAsia="Times New Roman" w:hAnsi="Verdana" w:cs="Times New Roman"/>
                <w:color w:val="000000"/>
                <w:sz w:val="16"/>
                <w:szCs w:val="16"/>
                <w:lang w:eastAsia="ro-RO"/>
              </w:rPr>
              <w:t>3 lei/debitor</w:t>
            </w:r>
          </w:p>
        </w:tc>
      </w:tr>
      <w:tr w:rsidR="00A37E1A" w:rsidRPr="00A37E1A" w:rsidTr="00A37E1A">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A37E1A" w:rsidRPr="00A37E1A" w:rsidRDefault="00A37E1A" w:rsidP="00A37E1A">
            <w:pPr>
              <w:spacing w:after="0" w:line="240" w:lineRule="auto"/>
              <w:jc w:val="center"/>
              <w:rPr>
                <w:rFonts w:ascii="Verdana" w:eastAsia="Times New Roman" w:hAnsi="Verdana" w:cs="Times New Roman"/>
                <w:color w:val="000000"/>
                <w:sz w:val="16"/>
                <w:szCs w:val="16"/>
                <w:lang w:eastAsia="ro-RO"/>
              </w:rPr>
            </w:pPr>
            <w:r w:rsidRPr="00A37E1A">
              <w:rPr>
                <w:rFonts w:ascii="Verdana" w:eastAsia="Times New Roman" w:hAnsi="Verdana" w:cs="Times New Roman"/>
                <w:color w:val="000000"/>
                <w:sz w:val="16"/>
                <w:szCs w:val="16"/>
                <w:lang w:eastAsia="ro-RO"/>
              </w:rPr>
              <w:t>2.</w:t>
            </w:r>
          </w:p>
        </w:tc>
        <w:tc>
          <w:tcPr>
            <w:tcW w:w="3300" w:type="pct"/>
            <w:tcBorders>
              <w:top w:val="outset" w:sz="6" w:space="0" w:color="auto"/>
              <w:left w:val="outset" w:sz="6" w:space="0" w:color="auto"/>
              <w:bottom w:val="outset" w:sz="6" w:space="0" w:color="auto"/>
              <w:right w:val="outset" w:sz="6" w:space="0" w:color="auto"/>
            </w:tcBorders>
            <w:vAlign w:val="center"/>
            <w:hideMark/>
          </w:tcPr>
          <w:p w:rsidR="00A37E1A" w:rsidRPr="00A37E1A" w:rsidRDefault="00A37E1A" w:rsidP="00A37E1A">
            <w:pPr>
              <w:spacing w:after="0" w:line="240" w:lineRule="auto"/>
              <w:rPr>
                <w:rFonts w:ascii="Verdana" w:eastAsia="Times New Roman" w:hAnsi="Verdana" w:cs="Times New Roman"/>
                <w:color w:val="000000"/>
                <w:sz w:val="16"/>
                <w:szCs w:val="16"/>
                <w:lang w:eastAsia="ro-RO"/>
              </w:rPr>
            </w:pPr>
            <w:r w:rsidRPr="00A37E1A">
              <w:rPr>
                <w:rFonts w:ascii="Verdana" w:eastAsia="Times New Roman" w:hAnsi="Verdana" w:cs="Times New Roman"/>
                <w:color w:val="000000"/>
                <w:sz w:val="16"/>
                <w:szCs w:val="16"/>
                <w:lang w:eastAsia="ro-RO"/>
              </w:rPr>
              <w:t xml:space="preserve">Cerere eliberare certificat constatator - dacă un act de procedură este sau nu </w:t>
            </w:r>
            <w:r w:rsidRPr="00A37E1A">
              <w:rPr>
                <w:rFonts w:ascii="Verdana" w:eastAsia="Times New Roman" w:hAnsi="Verdana" w:cs="Times New Roman"/>
                <w:color w:val="000000"/>
                <w:sz w:val="16"/>
                <w:szCs w:val="16"/>
                <w:lang w:eastAsia="ro-RO"/>
              </w:rPr>
              <w:lastRenderedPageBreak/>
              <w:t>este înregistrat şi publicat în Buletinul procedurilor de insolvenţă/raport istoric despre un debitor (de la deschiderea procedurii de insolvenţă până la data solicitării raportului sau pe anumite perioade)</w:t>
            </w:r>
          </w:p>
        </w:tc>
        <w:tc>
          <w:tcPr>
            <w:tcW w:w="1300" w:type="pct"/>
            <w:tcBorders>
              <w:top w:val="outset" w:sz="6" w:space="0" w:color="auto"/>
              <w:left w:val="outset" w:sz="6" w:space="0" w:color="auto"/>
              <w:bottom w:val="outset" w:sz="6" w:space="0" w:color="auto"/>
              <w:right w:val="outset" w:sz="6" w:space="0" w:color="auto"/>
            </w:tcBorders>
            <w:vAlign w:val="center"/>
            <w:hideMark/>
          </w:tcPr>
          <w:p w:rsidR="00A37E1A" w:rsidRPr="00A37E1A" w:rsidRDefault="00A37E1A" w:rsidP="00A37E1A">
            <w:pPr>
              <w:spacing w:after="0" w:line="240" w:lineRule="auto"/>
              <w:jc w:val="center"/>
              <w:rPr>
                <w:rFonts w:ascii="Verdana" w:eastAsia="Times New Roman" w:hAnsi="Verdana" w:cs="Times New Roman"/>
                <w:color w:val="000000"/>
                <w:sz w:val="16"/>
                <w:szCs w:val="16"/>
                <w:lang w:eastAsia="ro-RO"/>
              </w:rPr>
            </w:pPr>
            <w:r w:rsidRPr="00A37E1A">
              <w:rPr>
                <w:rFonts w:ascii="Verdana" w:eastAsia="Times New Roman" w:hAnsi="Verdana" w:cs="Times New Roman"/>
                <w:color w:val="000000"/>
                <w:sz w:val="16"/>
                <w:szCs w:val="16"/>
                <w:lang w:eastAsia="ro-RO"/>
              </w:rPr>
              <w:lastRenderedPageBreak/>
              <w:t>30 lei</w:t>
            </w:r>
          </w:p>
        </w:tc>
      </w:tr>
      <w:tr w:rsidR="00A37E1A" w:rsidRPr="00A37E1A" w:rsidTr="00A37E1A">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A37E1A" w:rsidRPr="00A37E1A" w:rsidRDefault="00A37E1A" w:rsidP="00A37E1A">
            <w:pPr>
              <w:spacing w:after="0" w:line="240" w:lineRule="auto"/>
              <w:jc w:val="center"/>
              <w:rPr>
                <w:rFonts w:ascii="Verdana" w:eastAsia="Times New Roman" w:hAnsi="Verdana" w:cs="Times New Roman"/>
                <w:color w:val="000000"/>
                <w:sz w:val="16"/>
                <w:szCs w:val="16"/>
                <w:lang w:eastAsia="ro-RO"/>
              </w:rPr>
            </w:pPr>
            <w:r w:rsidRPr="00A37E1A">
              <w:rPr>
                <w:rFonts w:ascii="Verdana" w:eastAsia="Times New Roman" w:hAnsi="Verdana" w:cs="Times New Roman"/>
                <w:color w:val="000000"/>
                <w:sz w:val="16"/>
                <w:szCs w:val="16"/>
                <w:lang w:eastAsia="ro-RO"/>
              </w:rPr>
              <w:lastRenderedPageBreak/>
              <w:t>3.</w:t>
            </w:r>
          </w:p>
        </w:tc>
        <w:tc>
          <w:tcPr>
            <w:tcW w:w="3300" w:type="pct"/>
            <w:tcBorders>
              <w:top w:val="outset" w:sz="6" w:space="0" w:color="auto"/>
              <w:left w:val="outset" w:sz="6" w:space="0" w:color="auto"/>
              <w:bottom w:val="outset" w:sz="6" w:space="0" w:color="auto"/>
              <w:right w:val="outset" w:sz="6" w:space="0" w:color="auto"/>
            </w:tcBorders>
            <w:vAlign w:val="center"/>
            <w:hideMark/>
          </w:tcPr>
          <w:p w:rsidR="00A37E1A" w:rsidRPr="00A37E1A" w:rsidRDefault="00A37E1A" w:rsidP="00A37E1A">
            <w:pPr>
              <w:spacing w:after="0" w:line="240" w:lineRule="auto"/>
              <w:rPr>
                <w:rFonts w:ascii="Verdana" w:eastAsia="Times New Roman" w:hAnsi="Verdana" w:cs="Times New Roman"/>
                <w:color w:val="000000"/>
                <w:sz w:val="16"/>
                <w:szCs w:val="16"/>
                <w:lang w:eastAsia="ro-RO"/>
              </w:rPr>
            </w:pPr>
            <w:r w:rsidRPr="00A37E1A">
              <w:rPr>
                <w:rFonts w:ascii="Verdana" w:eastAsia="Times New Roman" w:hAnsi="Verdana" w:cs="Times New Roman"/>
                <w:color w:val="000000"/>
                <w:sz w:val="16"/>
                <w:szCs w:val="16"/>
                <w:lang w:eastAsia="ro-RO"/>
              </w:rPr>
              <w:t>Cerere eliberare date statistice şi informaţii pentru serii de debitori grupate în funcţie de un criteriu*)</w:t>
            </w:r>
          </w:p>
        </w:tc>
        <w:tc>
          <w:tcPr>
            <w:tcW w:w="1300" w:type="pct"/>
            <w:tcBorders>
              <w:top w:val="outset" w:sz="6" w:space="0" w:color="auto"/>
              <w:left w:val="outset" w:sz="6" w:space="0" w:color="auto"/>
              <w:bottom w:val="outset" w:sz="6" w:space="0" w:color="auto"/>
              <w:right w:val="outset" w:sz="6" w:space="0" w:color="auto"/>
            </w:tcBorders>
            <w:vAlign w:val="center"/>
            <w:hideMark/>
          </w:tcPr>
          <w:p w:rsidR="00A37E1A" w:rsidRPr="00A37E1A" w:rsidRDefault="00A37E1A" w:rsidP="00A37E1A">
            <w:pPr>
              <w:spacing w:after="0" w:line="240" w:lineRule="auto"/>
              <w:jc w:val="center"/>
              <w:rPr>
                <w:rFonts w:ascii="Verdana" w:eastAsia="Times New Roman" w:hAnsi="Verdana" w:cs="Times New Roman"/>
                <w:color w:val="000000"/>
                <w:sz w:val="16"/>
                <w:szCs w:val="16"/>
                <w:lang w:eastAsia="ro-RO"/>
              </w:rPr>
            </w:pPr>
            <w:r w:rsidRPr="00A37E1A">
              <w:rPr>
                <w:rFonts w:ascii="Verdana" w:eastAsia="Times New Roman" w:hAnsi="Verdana" w:cs="Times New Roman"/>
                <w:color w:val="000000"/>
                <w:sz w:val="16"/>
                <w:szCs w:val="16"/>
                <w:lang w:eastAsia="ro-RO"/>
              </w:rPr>
              <w:t>3 lei/criteriu/debitor</w:t>
            </w:r>
          </w:p>
        </w:tc>
      </w:tr>
      <w:tr w:rsidR="00A37E1A" w:rsidRPr="00A37E1A" w:rsidTr="00A37E1A">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A37E1A" w:rsidRPr="00A37E1A" w:rsidRDefault="00A37E1A" w:rsidP="00A37E1A">
            <w:pPr>
              <w:spacing w:after="0" w:line="240" w:lineRule="auto"/>
              <w:jc w:val="center"/>
              <w:rPr>
                <w:rFonts w:ascii="Verdana" w:eastAsia="Times New Roman" w:hAnsi="Verdana" w:cs="Times New Roman"/>
                <w:color w:val="000000"/>
                <w:sz w:val="16"/>
                <w:szCs w:val="16"/>
                <w:lang w:eastAsia="ro-RO"/>
              </w:rPr>
            </w:pPr>
            <w:r w:rsidRPr="00A37E1A">
              <w:rPr>
                <w:rFonts w:ascii="Verdana" w:eastAsia="Times New Roman" w:hAnsi="Verdana" w:cs="Times New Roman"/>
                <w:color w:val="000000"/>
                <w:sz w:val="16"/>
                <w:szCs w:val="16"/>
                <w:lang w:eastAsia="ro-RO"/>
              </w:rPr>
              <w:t>4.</w:t>
            </w:r>
          </w:p>
        </w:tc>
        <w:tc>
          <w:tcPr>
            <w:tcW w:w="3300" w:type="pct"/>
            <w:tcBorders>
              <w:top w:val="outset" w:sz="6" w:space="0" w:color="auto"/>
              <w:left w:val="outset" w:sz="6" w:space="0" w:color="auto"/>
              <w:bottom w:val="outset" w:sz="6" w:space="0" w:color="auto"/>
              <w:right w:val="outset" w:sz="6" w:space="0" w:color="auto"/>
            </w:tcBorders>
            <w:vAlign w:val="center"/>
            <w:hideMark/>
          </w:tcPr>
          <w:p w:rsidR="00A37E1A" w:rsidRPr="00A37E1A" w:rsidRDefault="00A37E1A" w:rsidP="00A37E1A">
            <w:pPr>
              <w:spacing w:after="0" w:line="240" w:lineRule="auto"/>
              <w:rPr>
                <w:rFonts w:ascii="Verdana" w:eastAsia="Times New Roman" w:hAnsi="Verdana" w:cs="Times New Roman"/>
                <w:color w:val="000000"/>
                <w:sz w:val="16"/>
                <w:szCs w:val="16"/>
                <w:lang w:eastAsia="ro-RO"/>
              </w:rPr>
            </w:pPr>
            <w:r w:rsidRPr="00A37E1A">
              <w:rPr>
                <w:rFonts w:ascii="Verdana" w:eastAsia="Times New Roman" w:hAnsi="Verdana" w:cs="Times New Roman"/>
                <w:color w:val="000000"/>
                <w:sz w:val="16"/>
                <w:szCs w:val="16"/>
                <w:lang w:eastAsia="ro-RO"/>
              </w:rPr>
              <w:t>Cerere copii certificate de pe actele de procedură publicate</w:t>
            </w:r>
          </w:p>
        </w:tc>
        <w:tc>
          <w:tcPr>
            <w:tcW w:w="1300" w:type="pct"/>
            <w:tcBorders>
              <w:top w:val="outset" w:sz="6" w:space="0" w:color="auto"/>
              <w:left w:val="outset" w:sz="6" w:space="0" w:color="auto"/>
              <w:bottom w:val="outset" w:sz="6" w:space="0" w:color="auto"/>
              <w:right w:val="outset" w:sz="6" w:space="0" w:color="auto"/>
            </w:tcBorders>
            <w:vAlign w:val="center"/>
            <w:hideMark/>
          </w:tcPr>
          <w:p w:rsidR="00A37E1A" w:rsidRPr="00A37E1A" w:rsidRDefault="00A37E1A" w:rsidP="00A37E1A">
            <w:pPr>
              <w:spacing w:after="0" w:line="240" w:lineRule="auto"/>
              <w:jc w:val="center"/>
              <w:rPr>
                <w:rFonts w:ascii="Verdana" w:eastAsia="Times New Roman" w:hAnsi="Verdana" w:cs="Times New Roman"/>
                <w:color w:val="000000"/>
                <w:sz w:val="16"/>
                <w:szCs w:val="16"/>
                <w:lang w:eastAsia="ro-RO"/>
              </w:rPr>
            </w:pPr>
            <w:r w:rsidRPr="00A37E1A">
              <w:rPr>
                <w:rFonts w:ascii="Verdana" w:eastAsia="Times New Roman" w:hAnsi="Verdana" w:cs="Times New Roman"/>
                <w:color w:val="000000"/>
                <w:sz w:val="16"/>
                <w:szCs w:val="16"/>
                <w:lang w:eastAsia="ro-RO"/>
              </w:rPr>
              <w:t>4 + 0,2 lei/pagină certificată</w:t>
            </w:r>
          </w:p>
        </w:tc>
      </w:tr>
      <w:tr w:rsidR="00A37E1A" w:rsidRPr="00A37E1A" w:rsidTr="00A37E1A">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A37E1A" w:rsidRPr="00A37E1A" w:rsidRDefault="00A37E1A" w:rsidP="00A37E1A">
            <w:pPr>
              <w:spacing w:after="0" w:line="240" w:lineRule="auto"/>
              <w:jc w:val="center"/>
              <w:rPr>
                <w:rFonts w:ascii="Verdana" w:eastAsia="Times New Roman" w:hAnsi="Verdana" w:cs="Times New Roman"/>
                <w:color w:val="000000"/>
                <w:sz w:val="16"/>
                <w:szCs w:val="16"/>
                <w:lang w:eastAsia="ro-RO"/>
              </w:rPr>
            </w:pPr>
            <w:r w:rsidRPr="00A37E1A">
              <w:rPr>
                <w:rFonts w:ascii="Verdana" w:eastAsia="Times New Roman" w:hAnsi="Verdana" w:cs="Times New Roman"/>
                <w:color w:val="000000"/>
                <w:sz w:val="16"/>
                <w:szCs w:val="16"/>
                <w:lang w:eastAsia="ro-RO"/>
              </w:rPr>
              <w:t>5.</w:t>
            </w:r>
          </w:p>
        </w:tc>
        <w:tc>
          <w:tcPr>
            <w:tcW w:w="3300" w:type="pct"/>
            <w:tcBorders>
              <w:top w:val="outset" w:sz="6" w:space="0" w:color="auto"/>
              <w:left w:val="outset" w:sz="6" w:space="0" w:color="auto"/>
              <w:bottom w:val="outset" w:sz="6" w:space="0" w:color="auto"/>
              <w:right w:val="outset" w:sz="6" w:space="0" w:color="auto"/>
            </w:tcBorders>
            <w:vAlign w:val="center"/>
            <w:hideMark/>
          </w:tcPr>
          <w:p w:rsidR="00A37E1A" w:rsidRPr="00A37E1A" w:rsidRDefault="00A37E1A" w:rsidP="00A37E1A">
            <w:pPr>
              <w:spacing w:after="0" w:line="240" w:lineRule="auto"/>
              <w:rPr>
                <w:rFonts w:ascii="Verdana" w:eastAsia="Times New Roman" w:hAnsi="Verdana" w:cs="Times New Roman"/>
                <w:color w:val="000000"/>
                <w:sz w:val="16"/>
                <w:szCs w:val="16"/>
                <w:lang w:eastAsia="ro-RO"/>
              </w:rPr>
            </w:pPr>
            <w:r w:rsidRPr="00A37E1A">
              <w:rPr>
                <w:rFonts w:ascii="Verdana" w:eastAsia="Times New Roman" w:hAnsi="Verdana" w:cs="Times New Roman"/>
                <w:color w:val="000000"/>
                <w:sz w:val="16"/>
                <w:szCs w:val="16"/>
                <w:lang w:eastAsia="ro-RO"/>
              </w:rPr>
              <w:t>Cerere copii de pe Buletinul procedurilor de insolvenţă</w:t>
            </w:r>
          </w:p>
        </w:tc>
        <w:tc>
          <w:tcPr>
            <w:tcW w:w="1300" w:type="pct"/>
            <w:tcBorders>
              <w:top w:val="outset" w:sz="6" w:space="0" w:color="auto"/>
              <w:left w:val="outset" w:sz="6" w:space="0" w:color="auto"/>
              <w:bottom w:val="outset" w:sz="6" w:space="0" w:color="auto"/>
              <w:right w:val="outset" w:sz="6" w:space="0" w:color="auto"/>
            </w:tcBorders>
            <w:vAlign w:val="center"/>
            <w:hideMark/>
          </w:tcPr>
          <w:p w:rsidR="00A37E1A" w:rsidRPr="00A37E1A" w:rsidRDefault="00A37E1A" w:rsidP="00A37E1A">
            <w:pPr>
              <w:spacing w:after="0" w:line="240" w:lineRule="auto"/>
              <w:jc w:val="center"/>
              <w:rPr>
                <w:rFonts w:ascii="Verdana" w:eastAsia="Times New Roman" w:hAnsi="Verdana" w:cs="Times New Roman"/>
                <w:color w:val="000000"/>
                <w:sz w:val="16"/>
                <w:szCs w:val="16"/>
                <w:lang w:eastAsia="ro-RO"/>
              </w:rPr>
            </w:pPr>
            <w:r w:rsidRPr="00A37E1A">
              <w:rPr>
                <w:rFonts w:ascii="Verdana" w:eastAsia="Times New Roman" w:hAnsi="Verdana" w:cs="Times New Roman"/>
                <w:color w:val="000000"/>
                <w:sz w:val="16"/>
                <w:szCs w:val="16"/>
                <w:lang w:eastAsia="ro-RO"/>
              </w:rPr>
              <w:t>0,2 lei/pagină copie</w:t>
            </w:r>
          </w:p>
        </w:tc>
      </w:tr>
    </w:tbl>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29" w:name="do|ax1|pa2"/>
      <w:bookmarkEnd w:id="29"/>
      <w:r w:rsidRPr="00A37E1A">
        <w:rPr>
          <w:rFonts w:ascii="Verdana" w:eastAsia="Times New Roman" w:hAnsi="Verdana" w:cs="Times New Roman"/>
          <w:lang w:eastAsia="ro-RO"/>
        </w:rPr>
        <w:t>*) Pentru seriile de debitori grupate în funcţie de un criteriu se vor furniza informaţii privind identificarea debitorului (denumire, număr de înregistrare din registrul în care este înmatriculat/înregistrat, cod unic de înregistrare fiscală, sediul social pentru debitorul persoană juridică, nume, prenume şi judeţ/localitate în care este stabilit domiciliul pentru debitorul persoană fizică) şi informaţia utilizată drept criteriu de selecţie:</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30" w:name="do|ax1|pa3"/>
      <w:bookmarkEnd w:id="30"/>
      <w:r w:rsidRPr="00A37E1A">
        <w:rPr>
          <w:rFonts w:ascii="Verdana" w:eastAsia="Times New Roman" w:hAnsi="Verdana" w:cs="Times New Roman"/>
          <w:lang w:eastAsia="ro-RO"/>
        </w:rPr>
        <w:t>- între 11-100 de debitori/creditori: 30%;</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31" w:name="do|ax1|pa4"/>
      <w:bookmarkEnd w:id="31"/>
      <w:r w:rsidRPr="00A37E1A">
        <w:rPr>
          <w:rFonts w:ascii="Verdana" w:eastAsia="Times New Roman" w:hAnsi="Verdana" w:cs="Times New Roman"/>
          <w:lang w:eastAsia="ro-RO"/>
        </w:rPr>
        <w:t>- între 101-1.000 de debitori/creditori: 60%;</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32" w:name="do|ax1|pa5"/>
      <w:bookmarkEnd w:id="32"/>
      <w:r w:rsidRPr="00A37E1A">
        <w:rPr>
          <w:rFonts w:ascii="Verdana" w:eastAsia="Times New Roman" w:hAnsi="Verdana" w:cs="Times New Roman"/>
          <w:lang w:eastAsia="ro-RO"/>
        </w:rPr>
        <w:t>- peste 1.000 de debitori/creditori: 80%.</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bookmarkStart w:id="33" w:name="do|pa7"/>
      <w:bookmarkEnd w:id="33"/>
      <w:r w:rsidRPr="00A37E1A">
        <w:rPr>
          <w:rFonts w:ascii="Verdana" w:eastAsia="Times New Roman" w:hAnsi="Verdana" w:cs="Times New Roman"/>
          <w:lang w:eastAsia="ro-RO"/>
        </w:rPr>
        <w:t>Publicat în Monitorul Oficial cu numărul 560 din data de 14 iulie 2017</w:t>
      </w:r>
    </w:p>
    <w:p w:rsidR="00A37E1A" w:rsidRPr="00A37E1A" w:rsidRDefault="00A37E1A" w:rsidP="00A37E1A">
      <w:pPr>
        <w:shd w:val="clear" w:color="auto" w:fill="FFFFFF"/>
        <w:spacing w:after="0" w:line="240" w:lineRule="auto"/>
        <w:jc w:val="both"/>
        <w:rPr>
          <w:rFonts w:ascii="Verdana" w:eastAsia="Times New Roman" w:hAnsi="Verdana" w:cs="Times New Roman"/>
          <w:lang w:eastAsia="ro-RO"/>
        </w:rPr>
      </w:pPr>
      <w:r w:rsidRPr="00A37E1A">
        <w:rPr>
          <w:rFonts w:ascii="Verdana" w:eastAsia="Times New Roman" w:hAnsi="Verdana" w:cs="Times New Roman"/>
          <w:lang w:eastAsia="ro-RO"/>
        </w:rPr>
        <w:br/>
      </w:r>
    </w:p>
    <w:p w:rsidR="00EC5A92" w:rsidRDefault="00EC5A92"/>
    <w:sectPr w:rsidR="00EC5A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C8"/>
    <w:rsid w:val="00A37E1A"/>
    <w:rsid w:val="00EC2FC8"/>
    <w:rsid w:val="00EC5A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A37E1A"/>
    <w:rPr>
      <w:b/>
      <w:bCs/>
      <w:color w:val="333399"/>
      <w:u w:val="single"/>
    </w:rPr>
  </w:style>
  <w:style w:type="character" w:customStyle="1" w:styleId="do1">
    <w:name w:val="do1"/>
    <w:basedOn w:val="Fontdeparagrafimplicit"/>
    <w:rsid w:val="00A37E1A"/>
    <w:rPr>
      <w:b/>
      <w:bCs/>
      <w:sz w:val="26"/>
      <w:szCs w:val="26"/>
    </w:rPr>
  </w:style>
  <w:style w:type="character" w:customStyle="1" w:styleId="tpa1">
    <w:name w:val="tpa1"/>
    <w:basedOn w:val="Fontdeparagrafimplicit"/>
    <w:rsid w:val="00A37E1A"/>
  </w:style>
  <w:style w:type="character" w:customStyle="1" w:styleId="ar1">
    <w:name w:val="ar1"/>
    <w:basedOn w:val="Fontdeparagrafimplicit"/>
    <w:rsid w:val="00A37E1A"/>
    <w:rPr>
      <w:b/>
      <w:bCs/>
      <w:color w:val="0000AF"/>
      <w:sz w:val="22"/>
      <w:szCs w:val="22"/>
    </w:rPr>
  </w:style>
  <w:style w:type="character" w:customStyle="1" w:styleId="al1">
    <w:name w:val="al1"/>
    <w:basedOn w:val="Fontdeparagrafimplicit"/>
    <w:rsid w:val="00A37E1A"/>
    <w:rPr>
      <w:b/>
      <w:bCs/>
      <w:color w:val="008F00"/>
    </w:rPr>
  </w:style>
  <w:style w:type="character" w:customStyle="1" w:styleId="tal1">
    <w:name w:val="tal1"/>
    <w:basedOn w:val="Fontdeparagrafimplicit"/>
    <w:rsid w:val="00A37E1A"/>
  </w:style>
  <w:style w:type="character" w:customStyle="1" w:styleId="ax1">
    <w:name w:val="ax1"/>
    <w:basedOn w:val="Fontdeparagrafimplicit"/>
    <w:rsid w:val="00A37E1A"/>
    <w:rPr>
      <w:b/>
      <w:bCs/>
      <w:sz w:val="26"/>
      <w:szCs w:val="26"/>
    </w:rPr>
  </w:style>
  <w:style w:type="character" w:customStyle="1" w:styleId="tax1">
    <w:name w:val="tax1"/>
    <w:basedOn w:val="Fontdeparagrafimplicit"/>
    <w:rsid w:val="00A37E1A"/>
    <w:rPr>
      <w:b/>
      <w:bCs/>
      <w:sz w:val="26"/>
      <w:szCs w:val="26"/>
    </w:rPr>
  </w:style>
  <w:style w:type="paragraph" w:styleId="TextnBalon">
    <w:name w:val="Balloon Text"/>
    <w:basedOn w:val="Normal"/>
    <w:link w:val="TextnBalonCaracter"/>
    <w:uiPriority w:val="99"/>
    <w:semiHidden/>
    <w:unhideWhenUsed/>
    <w:rsid w:val="00A37E1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37E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A37E1A"/>
    <w:rPr>
      <w:b/>
      <w:bCs/>
      <w:color w:val="333399"/>
      <w:u w:val="single"/>
    </w:rPr>
  </w:style>
  <w:style w:type="character" w:customStyle="1" w:styleId="do1">
    <w:name w:val="do1"/>
    <w:basedOn w:val="Fontdeparagrafimplicit"/>
    <w:rsid w:val="00A37E1A"/>
    <w:rPr>
      <w:b/>
      <w:bCs/>
      <w:sz w:val="26"/>
      <w:szCs w:val="26"/>
    </w:rPr>
  </w:style>
  <w:style w:type="character" w:customStyle="1" w:styleId="tpa1">
    <w:name w:val="tpa1"/>
    <w:basedOn w:val="Fontdeparagrafimplicit"/>
    <w:rsid w:val="00A37E1A"/>
  </w:style>
  <w:style w:type="character" w:customStyle="1" w:styleId="ar1">
    <w:name w:val="ar1"/>
    <w:basedOn w:val="Fontdeparagrafimplicit"/>
    <w:rsid w:val="00A37E1A"/>
    <w:rPr>
      <w:b/>
      <w:bCs/>
      <w:color w:val="0000AF"/>
      <w:sz w:val="22"/>
      <w:szCs w:val="22"/>
    </w:rPr>
  </w:style>
  <w:style w:type="character" w:customStyle="1" w:styleId="al1">
    <w:name w:val="al1"/>
    <w:basedOn w:val="Fontdeparagrafimplicit"/>
    <w:rsid w:val="00A37E1A"/>
    <w:rPr>
      <w:b/>
      <w:bCs/>
      <w:color w:val="008F00"/>
    </w:rPr>
  </w:style>
  <w:style w:type="character" w:customStyle="1" w:styleId="tal1">
    <w:name w:val="tal1"/>
    <w:basedOn w:val="Fontdeparagrafimplicit"/>
    <w:rsid w:val="00A37E1A"/>
  </w:style>
  <w:style w:type="character" w:customStyle="1" w:styleId="ax1">
    <w:name w:val="ax1"/>
    <w:basedOn w:val="Fontdeparagrafimplicit"/>
    <w:rsid w:val="00A37E1A"/>
    <w:rPr>
      <w:b/>
      <w:bCs/>
      <w:sz w:val="26"/>
      <w:szCs w:val="26"/>
    </w:rPr>
  </w:style>
  <w:style w:type="character" w:customStyle="1" w:styleId="tax1">
    <w:name w:val="tax1"/>
    <w:basedOn w:val="Fontdeparagrafimplicit"/>
    <w:rsid w:val="00A37E1A"/>
    <w:rPr>
      <w:b/>
      <w:bCs/>
      <w:sz w:val="26"/>
      <w:szCs w:val="26"/>
    </w:rPr>
  </w:style>
  <w:style w:type="paragraph" w:styleId="TextnBalon">
    <w:name w:val="Balloon Text"/>
    <w:basedOn w:val="Normal"/>
    <w:link w:val="TextnBalonCaracter"/>
    <w:uiPriority w:val="99"/>
    <w:semiHidden/>
    <w:unhideWhenUsed/>
    <w:rsid w:val="00A37E1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37E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24528">
      <w:bodyDiv w:val="1"/>
      <w:marLeft w:val="0"/>
      <w:marRight w:val="0"/>
      <w:marTop w:val="0"/>
      <w:marBottom w:val="0"/>
      <w:divBdr>
        <w:top w:val="none" w:sz="0" w:space="0" w:color="auto"/>
        <w:left w:val="none" w:sz="0" w:space="0" w:color="auto"/>
        <w:bottom w:val="none" w:sz="0" w:space="0" w:color="auto"/>
        <w:right w:val="none" w:sz="0" w:space="0" w:color="auto"/>
      </w:divBdr>
      <w:divsChild>
        <w:div w:id="1106804128">
          <w:marLeft w:val="0"/>
          <w:marRight w:val="0"/>
          <w:marTop w:val="0"/>
          <w:marBottom w:val="0"/>
          <w:divBdr>
            <w:top w:val="none" w:sz="0" w:space="0" w:color="auto"/>
            <w:left w:val="none" w:sz="0" w:space="0" w:color="auto"/>
            <w:bottom w:val="none" w:sz="0" w:space="0" w:color="auto"/>
            <w:right w:val="none" w:sz="0" w:space="0" w:color="auto"/>
          </w:divBdr>
          <w:divsChild>
            <w:div w:id="1366716002">
              <w:marLeft w:val="0"/>
              <w:marRight w:val="0"/>
              <w:marTop w:val="0"/>
              <w:marBottom w:val="0"/>
              <w:divBdr>
                <w:top w:val="dashed" w:sz="2" w:space="0" w:color="FFFFFF"/>
                <w:left w:val="dashed" w:sz="2" w:space="0" w:color="FFFFFF"/>
                <w:bottom w:val="dashed" w:sz="2" w:space="0" w:color="FFFFFF"/>
                <w:right w:val="dashed" w:sz="2" w:space="0" w:color="FFFFFF"/>
              </w:divBdr>
            </w:div>
            <w:div w:id="313267954">
              <w:marLeft w:val="0"/>
              <w:marRight w:val="0"/>
              <w:marTop w:val="0"/>
              <w:marBottom w:val="0"/>
              <w:divBdr>
                <w:top w:val="dashed" w:sz="2" w:space="0" w:color="FFFFFF"/>
                <w:left w:val="dashed" w:sz="2" w:space="0" w:color="FFFFFF"/>
                <w:bottom w:val="dashed" w:sz="2" w:space="0" w:color="FFFFFF"/>
                <w:right w:val="dashed" w:sz="2" w:space="0" w:color="FFFFFF"/>
              </w:divBdr>
              <w:divsChild>
                <w:div w:id="1095631442">
                  <w:marLeft w:val="0"/>
                  <w:marRight w:val="0"/>
                  <w:marTop w:val="0"/>
                  <w:marBottom w:val="0"/>
                  <w:divBdr>
                    <w:top w:val="dashed" w:sz="2" w:space="0" w:color="FFFFFF"/>
                    <w:left w:val="dashed" w:sz="2" w:space="0" w:color="FFFFFF"/>
                    <w:bottom w:val="dashed" w:sz="2" w:space="0" w:color="FFFFFF"/>
                    <w:right w:val="dashed" w:sz="2" w:space="0" w:color="FFFFFF"/>
                  </w:divBdr>
                </w:div>
                <w:div w:id="86510733">
                  <w:marLeft w:val="0"/>
                  <w:marRight w:val="0"/>
                  <w:marTop w:val="0"/>
                  <w:marBottom w:val="0"/>
                  <w:divBdr>
                    <w:top w:val="dashed" w:sz="2" w:space="0" w:color="FFFFFF"/>
                    <w:left w:val="dashed" w:sz="2" w:space="0" w:color="FFFFFF"/>
                    <w:bottom w:val="dashed" w:sz="2" w:space="0" w:color="FFFFFF"/>
                    <w:right w:val="dashed" w:sz="2" w:space="0" w:color="FFFFFF"/>
                  </w:divBdr>
                </w:div>
                <w:div w:id="1994024319">
                  <w:marLeft w:val="0"/>
                  <w:marRight w:val="0"/>
                  <w:marTop w:val="0"/>
                  <w:marBottom w:val="0"/>
                  <w:divBdr>
                    <w:top w:val="dashed" w:sz="2" w:space="0" w:color="FFFFFF"/>
                    <w:left w:val="dashed" w:sz="2" w:space="0" w:color="FFFFFF"/>
                    <w:bottom w:val="dashed" w:sz="2" w:space="0" w:color="FFFFFF"/>
                    <w:right w:val="dashed" w:sz="2" w:space="0" w:color="FFFFFF"/>
                  </w:divBdr>
                </w:div>
                <w:div w:id="1369793716">
                  <w:marLeft w:val="0"/>
                  <w:marRight w:val="0"/>
                  <w:marTop w:val="0"/>
                  <w:marBottom w:val="0"/>
                  <w:divBdr>
                    <w:top w:val="dashed" w:sz="2" w:space="0" w:color="FFFFFF"/>
                    <w:left w:val="dashed" w:sz="2" w:space="0" w:color="FFFFFF"/>
                    <w:bottom w:val="dashed" w:sz="2" w:space="0" w:color="FFFFFF"/>
                    <w:right w:val="dashed" w:sz="2" w:space="0" w:color="FFFFFF"/>
                  </w:divBdr>
                </w:div>
                <w:div w:id="2025159559">
                  <w:marLeft w:val="0"/>
                  <w:marRight w:val="0"/>
                  <w:marTop w:val="0"/>
                  <w:marBottom w:val="0"/>
                  <w:divBdr>
                    <w:top w:val="dashed" w:sz="2" w:space="0" w:color="FFFFFF"/>
                    <w:left w:val="dashed" w:sz="2" w:space="0" w:color="FFFFFF"/>
                    <w:bottom w:val="dashed" w:sz="2" w:space="0" w:color="FFFFFF"/>
                    <w:right w:val="dashed" w:sz="2" w:space="0" w:color="FFFFFF"/>
                  </w:divBdr>
                </w:div>
                <w:div w:id="1023215243">
                  <w:marLeft w:val="0"/>
                  <w:marRight w:val="0"/>
                  <w:marTop w:val="0"/>
                  <w:marBottom w:val="0"/>
                  <w:divBdr>
                    <w:top w:val="dashed" w:sz="2" w:space="0" w:color="FFFFFF"/>
                    <w:left w:val="dashed" w:sz="2" w:space="0" w:color="FFFFFF"/>
                    <w:bottom w:val="dashed" w:sz="2" w:space="0" w:color="FFFFFF"/>
                    <w:right w:val="dashed" w:sz="2" w:space="0" w:color="FFFFFF"/>
                  </w:divBdr>
                  <w:divsChild>
                    <w:div w:id="2374474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456910">
                  <w:marLeft w:val="0"/>
                  <w:marRight w:val="0"/>
                  <w:marTop w:val="0"/>
                  <w:marBottom w:val="0"/>
                  <w:divBdr>
                    <w:top w:val="dashed" w:sz="2" w:space="0" w:color="FFFFFF"/>
                    <w:left w:val="dashed" w:sz="2" w:space="0" w:color="FFFFFF"/>
                    <w:bottom w:val="dashed" w:sz="2" w:space="0" w:color="FFFFFF"/>
                    <w:right w:val="dashed" w:sz="2" w:space="0" w:color="FFFFFF"/>
                  </w:divBdr>
                </w:div>
                <w:div w:id="1469395339">
                  <w:marLeft w:val="0"/>
                  <w:marRight w:val="0"/>
                  <w:marTop w:val="0"/>
                  <w:marBottom w:val="0"/>
                  <w:divBdr>
                    <w:top w:val="dashed" w:sz="2" w:space="0" w:color="FFFFFF"/>
                    <w:left w:val="dashed" w:sz="2" w:space="0" w:color="FFFFFF"/>
                    <w:bottom w:val="dashed" w:sz="2" w:space="0" w:color="FFFFFF"/>
                    <w:right w:val="dashed" w:sz="2" w:space="0" w:color="FFFFFF"/>
                  </w:divBdr>
                  <w:divsChild>
                    <w:div w:id="12590185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8480645">
                  <w:marLeft w:val="0"/>
                  <w:marRight w:val="0"/>
                  <w:marTop w:val="0"/>
                  <w:marBottom w:val="0"/>
                  <w:divBdr>
                    <w:top w:val="dashed" w:sz="2" w:space="0" w:color="FFFFFF"/>
                    <w:left w:val="dashed" w:sz="2" w:space="0" w:color="FFFFFF"/>
                    <w:bottom w:val="dashed" w:sz="2" w:space="0" w:color="FFFFFF"/>
                    <w:right w:val="dashed" w:sz="2" w:space="0" w:color="FFFFFF"/>
                  </w:divBdr>
                </w:div>
                <w:div w:id="665287647">
                  <w:marLeft w:val="0"/>
                  <w:marRight w:val="0"/>
                  <w:marTop w:val="0"/>
                  <w:marBottom w:val="0"/>
                  <w:divBdr>
                    <w:top w:val="dashed" w:sz="2" w:space="0" w:color="FFFFFF"/>
                    <w:left w:val="dashed" w:sz="2" w:space="0" w:color="FFFFFF"/>
                    <w:bottom w:val="dashed" w:sz="2" w:space="0" w:color="FFFFFF"/>
                    <w:right w:val="dashed" w:sz="2" w:space="0" w:color="FFFFFF"/>
                  </w:divBdr>
                  <w:divsChild>
                    <w:div w:id="1073114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1807555">
                  <w:marLeft w:val="0"/>
                  <w:marRight w:val="0"/>
                  <w:marTop w:val="0"/>
                  <w:marBottom w:val="0"/>
                  <w:divBdr>
                    <w:top w:val="dashed" w:sz="2" w:space="0" w:color="FFFFFF"/>
                    <w:left w:val="dashed" w:sz="2" w:space="0" w:color="FFFFFF"/>
                    <w:bottom w:val="dashed" w:sz="2" w:space="0" w:color="FFFFFF"/>
                    <w:right w:val="dashed" w:sz="2" w:space="0" w:color="FFFFFF"/>
                  </w:divBdr>
                </w:div>
                <w:div w:id="907617274">
                  <w:marLeft w:val="0"/>
                  <w:marRight w:val="0"/>
                  <w:marTop w:val="0"/>
                  <w:marBottom w:val="0"/>
                  <w:divBdr>
                    <w:top w:val="dashed" w:sz="2" w:space="0" w:color="FFFFFF"/>
                    <w:left w:val="dashed" w:sz="2" w:space="0" w:color="FFFFFF"/>
                    <w:bottom w:val="dashed" w:sz="2" w:space="0" w:color="FFFFFF"/>
                    <w:right w:val="dashed" w:sz="2" w:space="0" w:color="FFFFFF"/>
                  </w:divBdr>
                  <w:divsChild>
                    <w:div w:id="17781361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5066223">
                  <w:marLeft w:val="0"/>
                  <w:marRight w:val="0"/>
                  <w:marTop w:val="0"/>
                  <w:marBottom w:val="0"/>
                  <w:divBdr>
                    <w:top w:val="dashed" w:sz="2" w:space="0" w:color="FFFFFF"/>
                    <w:left w:val="dashed" w:sz="2" w:space="0" w:color="FFFFFF"/>
                    <w:bottom w:val="dashed" w:sz="2" w:space="0" w:color="FFFFFF"/>
                    <w:right w:val="dashed" w:sz="2" w:space="0" w:color="FFFFFF"/>
                  </w:divBdr>
                </w:div>
                <w:div w:id="973288761">
                  <w:marLeft w:val="0"/>
                  <w:marRight w:val="0"/>
                  <w:marTop w:val="0"/>
                  <w:marBottom w:val="0"/>
                  <w:divBdr>
                    <w:top w:val="dashed" w:sz="2" w:space="0" w:color="FFFFFF"/>
                    <w:left w:val="dashed" w:sz="2" w:space="0" w:color="FFFFFF"/>
                    <w:bottom w:val="dashed" w:sz="2" w:space="0" w:color="FFFFFF"/>
                    <w:right w:val="dashed" w:sz="2" w:space="0" w:color="FFFFFF"/>
                  </w:divBdr>
                  <w:divsChild>
                    <w:div w:id="1801461280">
                      <w:marLeft w:val="0"/>
                      <w:marRight w:val="0"/>
                      <w:marTop w:val="0"/>
                      <w:marBottom w:val="0"/>
                      <w:divBdr>
                        <w:top w:val="dashed" w:sz="2" w:space="0" w:color="FFFFFF"/>
                        <w:left w:val="dashed" w:sz="2" w:space="0" w:color="FFFFFF"/>
                        <w:bottom w:val="dashed" w:sz="2" w:space="0" w:color="FFFFFF"/>
                        <w:right w:val="dashed" w:sz="2" w:space="0" w:color="FFFFFF"/>
                      </w:divBdr>
                    </w:div>
                    <w:div w:id="1279990858">
                      <w:marLeft w:val="0"/>
                      <w:marRight w:val="0"/>
                      <w:marTop w:val="0"/>
                      <w:marBottom w:val="0"/>
                      <w:divBdr>
                        <w:top w:val="dashed" w:sz="2" w:space="0" w:color="FFFFFF"/>
                        <w:left w:val="dashed" w:sz="2" w:space="0" w:color="FFFFFF"/>
                        <w:bottom w:val="dashed" w:sz="2" w:space="0" w:color="FFFFFF"/>
                        <w:right w:val="dashed" w:sz="2" w:space="0" w:color="FFFFFF"/>
                      </w:divBdr>
                    </w:div>
                    <w:div w:id="12291476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1010016">
                  <w:marLeft w:val="0"/>
                  <w:marRight w:val="0"/>
                  <w:marTop w:val="0"/>
                  <w:marBottom w:val="0"/>
                  <w:divBdr>
                    <w:top w:val="dashed" w:sz="2" w:space="0" w:color="FFFFFF"/>
                    <w:left w:val="dashed" w:sz="2" w:space="0" w:color="FFFFFF"/>
                    <w:bottom w:val="dashed" w:sz="2" w:space="0" w:color="FFFFFF"/>
                    <w:right w:val="dashed" w:sz="2" w:space="0" w:color="FFFFFF"/>
                  </w:divBdr>
                </w:div>
                <w:div w:id="1625117251">
                  <w:marLeft w:val="0"/>
                  <w:marRight w:val="0"/>
                  <w:marTop w:val="0"/>
                  <w:marBottom w:val="0"/>
                  <w:divBdr>
                    <w:top w:val="dashed" w:sz="2" w:space="0" w:color="FFFFFF"/>
                    <w:left w:val="dashed" w:sz="2" w:space="0" w:color="FFFFFF"/>
                    <w:bottom w:val="dashed" w:sz="2" w:space="0" w:color="FFFFFF"/>
                    <w:right w:val="dashed" w:sz="2" w:space="0" w:color="FFFFFF"/>
                  </w:divBdr>
                  <w:divsChild>
                    <w:div w:id="169148660">
                      <w:marLeft w:val="0"/>
                      <w:marRight w:val="0"/>
                      <w:marTop w:val="0"/>
                      <w:marBottom w:val="0"/>
                      <w:divBdr>
                        <w:top w:val="dashed" w:sz="2" w:space="0" w:color="FFFFFF"/>
                        <w:left w:val="dashed" w:sz="2" w:space="0" w:color="FFFFFF"/>
                        <w:bottom w:val="dashed" w:sz="2" w:space="0" w:color="FFFFFF"/>
                        <w:right w:val="dashed" w:sz="2" w:space="0" w:color="FFFFFF"/>
                      </w:divBdr>
                    </w:div>
                    <w:div w:id="687214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7917865">
                  <w:marLeft w:val="0"/>
                  <w:marRight w:val="0"/>
                  <w:marTop w:val="0"/>
                  <w:marBottom w:val="0"/>
                  <w:divBdr>
                    <w:top w:val="dashed" w:sz="2" w:space="0" w:color="FFFFFF"/>
                    <w:left w:val="dashed" w:sz="2" w:space="0" w:color="FFFFFF"/>
                    <w:bottom w:val="dashed" w:sz="2" w:space="0" w:color="FFFFFF"/>
                    <w:right w:val="dashed" w:sz="2" w:space="0" w:color="FFFFFF"/>
                  </w:divBdr>
                </w:div>
                <w:div w:id="1190340922">
                  <w:marLeft w:val="0"/>
                  <w:marRight w:val="0"/>
                  <w:marTop w:val="0"/>
                  <w:marBottom w:val="0"/>
                  <w:divBdr>
                    <w:top w:val="dashed" w:sz="2" w:space="0" w:color="FFFFFF"/>
                    <w:left w:val="dashed" w:sz="2" w:space="0" w:color="FFFFFF"/>
                    <w:bottom w:val="dashed" w:sz="2" w:space="0" w:color="FFFFFF"/>
                    <w:right w:val="dashed" w:sz="2" w:space="0" w:color="FFFFFF"/>
                  </w:divBdr>
                  <w:divsChild>
                    <w:div w:id="20230486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1814787">
                  <w:marLeft w:val="0"/>
                  <w:marRight w:val="0"/>
                  <w:marTop w:val="0"/>
                  <w:marBottom w:val="0"/>
                  <w:divBdr>
                    <w:top w:val="dashed" w:sz="2" w:space="0" w:color="FFFFFF"/>
                    <w:left w:val="dashed" w:sz="2" w:space="0" w:color="FFFFFF"/>
                    <w:bottom w:val="dashed" w:sz="2" w:space="0" w:color="FFFFFF"/>
                    <w:right w:val="dashed" w:sz="2" w:space="0" w:color="FFFFFF"/>
                  </w:divBdr>
                </w:div>
                <w:div w:id="1326283319">
                  <w:marLeft w:val="0"/>
                  <w:marRight w:val="0"/>
                  <w:marTop w:val="0"/>
                  <w:marBottom w:val="0"/>
                  <w:divBdr>
                    <w:top w:val="dashed" w:sz="2" w:space="0" w:color="FFFFFF"/>
                    <w:left w:val="dashed" w:sz="2" w:space="0" w:color="FFFFFF"/>
                    <w:bottom w:val="dashed" w:sz="2" w:space="0" w:color="FFFFFF"/>
                    <w:right w:val="dashed" w:sz="2" w:space="0" w:color="FFFFFF"/>
                  </w:divBdr>
                  <w:divsChild>
                    <w:div w:id="2056389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9575134">
                  <w:marLeft w:val="0"/>
                  <w:marRight w:val="0"/>
                  <w:marTop w:val="0"/>
                  <w:marBottom w:val="0"/>
                  <w:divBdr>
                    <w:top w:val="dashed" w:sz="2" w:space="0" w:color="FFFFFF"/>
                    <w:left w:val="dashed" w:sz="2" w:space="0" w:color="FFFFFF"/>
                    <w:bottom w:val="dashed" w:sz="2" w:space="0" w:color="FFFFFF"/>
                    <w:right w:val="dashed" w:sz="2" w:space="0" w:color="FFFFFF"/>
                  </w:divBdr>
                </w:div>
                <w:div w:id="824008919">
                  <w:marLeft w:val="0"/>
                  <w:marRight w:val="0"/>
                  <w:marTop w:val="0"/>
                  <w:marBottom w:val="0"/>
                  <w:divBdr>
                    <w:top w:val="dashed" w:sz="2" w:space="0" w:color="FFFFFF"/>
                    <w:left w:val="dashed" w:sz="2" w:space="0" w:color="FFFFFF"/>
                    <w:bottom w:val="dashed" w:sz="2" w:space="0" w:color="FFFFFF"/>
                    <w:right w:val="dashed" w:sz="2" w:space="0" w:color="FFFFFF"/>
                  </w:divBdr>
                </w:div>
                <w:div w:id="789779830">
                  <w:marLeft w:val="0"/>
                  <w:marRight w:val="0"/>
                  <w:marTop w:val="0"/>
                  <w:marBottom w:val="0"/>
                  <w:divBdr>
                    <w:top w:val="dashed" w:sz="2" w:space="0" w:color="FFFFFF"/>
                    <w:left w:val="dashed" w:sz="2" w:space="0" w:color="FFFFFF"/>
                    <w:bottom w:val="dashed" w:sz="2" w:space="0" w:color="FFFFFF"/>
                    <w:right w:val="dashed" w:sz="2" w:space="0" w:color="FFFFFF"/>
                  </w:divBdr>
                </w:div>
                <w:div w:id="2074543590">
                  <w:marLeft w:val="0"/>
                  <w:marRight w:val="0"/>
                  <w:marTop w:val="0"/>
                  <w:marBottom w:val="0"/>
                  <w:divBdr>
                    <w:top w:val="dashed" w:sz="2" w:space="0" w:color="FFFFFF"/>
                    <w:left w:val="dashed" w:sz="2" w:space="0" w:color="FFFFFF"/>
                    <w:bottom w:val="dashed" w:sz="2" w:space="0" w:color="FFFFFF"/>
                    <w:right w:val="dashed" w:sz="2" w:space="0" w:color="FFFFFF"/>
                  </w:divBdr>
                  <w:divsChild>
                    <w:div w:id="1603100362">
                      <w:marLeft w:val="0"/>
                      <w:marRight w:val="0"/>
                      <w:marTop w:val="0"/>
                      <w:marBottom w:val="0"/>
                      <w:divBdr>
                        <w:top w:val="dashed" w:sz="2" w:space="0" w:color="FFFFFF"/>
                        <w:left w:val="dashed" w:sz="2" w:space="0" w:color="FFFFFF"/>
                        <w:bottom w:val="dashed" w:sz="2" w:space="0" w:color="FFFFFF"/>
                        <w:right w:val="dashed" w:sz="2" w:space="0" w:color="FFFFFF"/>
                      </w:divBdr>
                    </w:div>
                    <w:div w:id="245041578">
                      <w:marLeft w:val="0"/>
                      <w:marRight w:val="0"/>
                      <w:marTop w:val="0"/>
                      <w:marBottom w:val="0"/>
                      <w:divBdr>
                        <w:top w:val="dashed" w:sz="2" w:space="0" w:color="FFFFFF"/>
                        <w:left w:val="dashed" w:sz="2" w:space="0" w:color="FFFFFF"/>
                        <w:bottom w:val="dashed" w:sz="2" w:space="0" w:color="FFFFFF"/>
                        <w:right w:val="dashed" w:sz="2" w:space="0" w:color="FFFFFF"/>
                      </w:divBdr>
                    </w:div>
                    <w:div w:id="1163856522">
                      <w:marLeft w:val="0"/>
                      <w:marRight w:val="0"/>
                      <w:marTop w:val="0"/>
                      <w:marBottom w:val="0"/>
                      <w:divBdr>
                        <w:top w:val="dashed" w:sz="2" w:space="0" w:color="FFFFFF"/>
                        <w:left w:val="dashed" w:sz="2" w:space="0" w:color="FFFFFF"/>
                        <w:bottom w:val="dashed" w:sz="2" w:space="0" w:color="FFFFFF"/>
                        <w:right w:val="dashed" w:sz="2" w:space="0" w:color="FFFFFF"/>
                      </w:divBdr>
                    </w:div>
                    <w:div w:id="1310213820">
                      <w:marLeft w:val="0"/>
                      <w:marRight w:val="0"/>
                      <w:marTop w:val="0"/>
                      <w:marBottom w:val="0"/>
                      <w:divBdr>
                        <w:top w:val="dashed" w:sz="2" w:space="0" w:color="FFFFFF"/>
                        <w:left w:val="dashed" w:sz="2" w:space="0" w:color="FFFFFF"/>
                        <w:bottom w:val="dashed" w:sz="2" w:space="0" w:color="FFFFFF"/>
                        <w:right w:val="dashed" w:sz="2" w:space="0" w:color="FFFFFF"/>
                      </w:divBdr>
                    </w:div>
                    <w:div w:id="8030784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27307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stoem\sintact%204.0\cache\Legislatie\temp920286\00164225.htm" TargetMode="External"/><Relationship Id="rId13" Type="http://schemas.openxmlformats.org/officeDocument/2006/relationships/hyperlink" Target="file:///C:\Users\testoem\sintact%204.0\cache\Legislatie\temp920286\00083614.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testoem\sintact%204.0\cache\Legislatie\temp920286\00171268.htm" TargetMode="External"/><Relationship Id="rId12" Type="http://schemas.openxmlformats.org/officeDocument/2006/relationships/hyperlink" Target="file:///C:\Users\testoem\sintact%204.0\cache\Legislatie\temp920286\00171268.htm" TargetMode="External"/><Relationship Id="rId17" Type="http://schemas.openxmlformats.org/officeDocument/2006/relationships/hyperlink" Target="file:///C:\Users\testoem\sintact%204.0\cache\Legislatie\temp920286\00171268.htm" TargetMode="External"/><Relationship Id="rId2" Type="http://schemas.microsoft.com/office/2007/relationships/stylesWithEffects" Target="stylesWithEffects.xml"/><Relationship Id="rId16" Type="http://schemas.openxmlformats.org/officeDocument/2006/relationships/hyperlink" Target="file:///C:\Users\testoem\sintact%204.0\cache\Legislatie\temp920286\00100632.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testoem\sintact%204.0\cache\Legislatie\temp920286\00186273.htm" TargetMode="External"/><Relationship Id="rId5" Type="http://schemas.openxmlformats.org/officeDocument/2006/relationships/hyperlink" Target="file:///C:\Users\testoem\sintact%204.0\cache\Legislatie\temp920286\00187121.HTML" TargetMode="External"/><Relationship Id="rId15" Type="http://schemas.openxmlformats.org/officeDocument/2006/relationships/hyperlink" Target="file:///C:\Users\testoem\sintact%204.0\cache\Legislatie\temp920286\00171867.htm" TargetMode="External"/><Relationship Id="rId10" Type="http://schemas.openxmlformats.org/officeDocument/2006/relationships/hyperlink" Target="file:///C:\Users\testoem\sintact%204.0\cache\Legislatie\temp920286\00078666.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testoem\sintact%204.0\cache\Legislatie\temp920286\00073786.htm" TargetMode="External"/><Relationship Id="rId14" Type="http://schemas.openxmlformats.org/officeDocument/2006/relationships/hyperlink" Target="file:///C:\Users\testoem\sintact%204.0\cache\Legislatie\temp920286\00123380.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1317</Words>
  <Characters>7639</Characters>
  <Application>Microsoft Office Word</Application>
  <DocSecurity>0</DocSecurity>
  <Lines>63</Lines>
  <Paragraphs>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2017-12-08T09:41:00Z</dcterms:created>
  <dcterms:modified xsi:type="dcterms:W3CDTF">2017-12-08T09:41:00Z</dcterms:modified>
</cp:coreProperties>
</file>