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A10FB2">
        <w:rPr>
          <w:rFonts w:ascii="Verdana" w:eastAsia="Times New Roman" w:hAnsi="Verdana" w:cs="Times New Roman"/>
          <w:b/>
          <w:bCs/>
          <w:sz w:val="26"/>
          <w:szCs w:val="26"/>
          <w:lang w:eastAsia="ro-RO"/>
        </w:rPr>
        <w:t>ORDIN nr. 520/C din 20 februarie 2007 privind aprobarea tarifelor de publicare în Buletinul procedurilor de insolvenţă a actelor de procedură emise de administratorii şi lichidatorii judiciari</w:t>
      </w:r>
      <w:r w:rsidRPr="00A10FB2">
        <w:rPr>
          <w:rFonts w:ascii="Verdana" w:eastAsia="Times New Roman" w:hAnsi="Verdana" w:cs="Times New Roman"/>
          <w:lang w:eastAsia="ro-RO"/>
        </w:rPr>
        <w:br/>
      </w:r>
      <w:bookmarkStart w:id="1" w:name="do|pa1"/>
      <w:bookmarkEnd w:id="1"/>
      <w:r w:rsidRPr="00A10FB2">
        <w:rPr>
          <w:rFonts w:ascii="Verdana" w:eastAsia="Times New Roman" w:hAnsi="Verdana" w:cs="Times New Roman"/>
          <w:lang w:eastAsia="ro-RO"/>
        </w:rPr>
        <w:t xml:space="preserve">Având în vedere dispoziţiile art. 7 din Legea nr. </w:t>
      </w:r>
      <w:hyperlink r:id="rId7" w:history="1">
        <w:r w:rsidRPr="00A10FB2">
          <w:rPr>
            <w:rFonts w:ascii="Verdana" w:eastAsia="Times New Roman" w:hAnsi="Verdana" w:cs="Times New Roman"/>
            <w:b/>
            <w:bCs/>
            <w:color w:val="333399"/>
            <w:u w:val="single"/>
            <w:lang w:eastAsia="ro-RO"/>
          </w:rPr>
          <w:t>85/2006</w:t>
        </w:r>
      </w:hyperlink>
      <w:r w:rsidRPr="00A10FB2">
        <w:rPr>
          <w:rFonts w:ascii="Verdana" w:eastAsia="Times New Roman" w:hAnsi="Verdana" w:cs="Times New Roman"/>
          <w:lang w:eastAsia="ro-RO"/>
        </w:rPr>
        <w:t xml:space="preserve"> privind procedura insolvenţei, cu modificările ulterioare,</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2" w:name="do|pa2"/>
      <w:bookmarkEnd w:id="2"/>
      <w:r w:rsidRPr="00A10FB2">
        <w:rPr>
          <w:rFonts w:ascii="Verdana" w:eastAsia="Times New Roman" w:hAnsi="Verdana" w:cs="Times New Roman"/>
          <w:lang w:eastAsia="ro-RO"/>
        </w:rPr>
        <w:t xml:space="preserve">în conformitate cu dispoziţiile art. 14 din Hotărârea Guvernului nr. </w:t>
      </w:r>
      <w:hyperlink r:id="rId8" w:history="1">
        <w:r w:rsidRPr="00A10FB2">
          <w:rPr>
            <w:rFonts w:ascii="Verdana" w:eastAsia="Times New Roman" w:hAnsi="Verdana" w:cs="Times New Roman"/>
            <w:b/>
            <w:bCs/>
            <w:color w:val="333399"/>
            <w:u w:val="single"/>
            <w:lang w:eastAsia="ro-RO"/>
          </w:rPr>
          <w:t>460/2005</w:t>
        </w:r>
      </w:hyperlink>
      <w:r w:rsidRPr="00A10FB2">
        <w:rPr>
          <w:rFonts w:ascii="Verdana" w:eastAsia="Times New Roman" w:hAnsi="Verdana" w:cs="Times New Roman"/>
          <w:lang w:eastAsia="ro-RO"/>
        </w:rPr>
        <w:t xml:space="preserve"> privind conţinutul, etapele, condiţiile de finanţare, publicare şi distribuire a Buletinului procedurilor de insolvenţă, cu modificările şi completările ulterioare,</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3" w:name="do|pa3"/>
      <w:bookmarkEnd w:id="3"/>
      <w:r w:rsidRPr="00A10FB2">
        <w:rPr>
          <w:rFonts w:ascii="Verdana" w:eastAsia="Times New Roman" w:hAnsi="Verdana" w:cs="Times New Roman"/>
          <w:lang w:eastAsia="ro-RO"/>
        </w:rPr>
        <w:t xml:space="preserve">în temeiul prevederilor art. 4 pct. VIII.6 din Hotărârea Guvernului nr. </w:t>
      </w:r>
      <w:hyperlink r:id="rId9" w:history="1">
        <w:r w:rsidRPr="00A10FB2">
          <w:rPr>
            <w:rFonts w:ascii="Verdana" w:eastAsia="Times New Roman" w:hAnsi="Verdana" w:cs="Times New Roman"/>
            <w:b/>
            <w:bCs/>
            <w:color w:val="333399"/>
            <w:u w:val="single"/>
            <w:lang w:eastAsia="ro-RO"/>
          </w:rPr>
          <w:t>83/2005</w:t>
        </w:r>
      </w:hyperlink>
      <w:r w:rsidRPr="00A10FB2">
        <w:rPr>
          <w:rFonts w:ascii="Verdana" w:eastAsia="Times New Roman" w:hAnsi="Verdana" w:cs="Times New Roman"/>
          <w:lang w:eastAsia="ro-RO"/>
        </w:rPr>
        <w:t xml:space="preserve"> privind organizarea şi funcţionarea Ministerului Justiţiei, cu modificările şi completările ulterioare,</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4" w:name="do|pa4"/>
      <w:bookmarkEnd w:id="4"/>
      <w:r w:rsidRPr="00A10FB2">
        <w:rPr>
          <w:rFonts w:ascii="Verdana" w:eastAsia="Times New Roman" w:hAnsi="Verdana" w:cs="Times New Roman"/>
          <w:b/>
          <w:bCs/>
          <w:lang w:eastAsia="ro-RO"/>
        </w:rPr>
        <w:t>ministrul justiţiei</w:t>
      </w:r>
      <w:r w:rsidRPr="00A10FB2">
        <w:rPr>
          <w:rFonts w:ascii="Verdana" w:eastAsia="Times New Roman" w:hAnsi="Verdana" w:cs="Times New Roman"/>
          <w:lang w:eastAsia="ro-RO"/>
        </w:rPr>
        <w:t xml:space="preserve"> emite următorul ordin:</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5" w:name="do|ar1"/>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A10FB2">
        <w:rPr>
          <w:rFonts w:ascii="Verdana" w:eastAsia="Times New Roman" w:hAnsi="Verdana" w:cs="Times New Roman"/>
          <w:b/>
          <w:bCs/>
          <w:color w:val="0000AF"/>
          <w:lang w:eastAsia="ro-RO"/>
        </w:rPr>
        <w:t>Art. 1</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6" w:name="do|ar1|al1"/>
      <w:bookmarkEnd w:id="6"/>
      <w:r w:rsidRPr="00A10FB2">
        <w:rPr>
          <w:rFonts w:ascii="Verdana" w:eastAsia="Times New Roman" w:hAnsi="Verdana" w:cs="Times New Roman"/>
          <w:b/>
          <w:bCs/>
          <w:color w:val="008F00"/>
          <w:lang w:eastAsia="ro-RO"/>
        </w:rPr>
        <w:t>(1)</w:t>
      </w:r>
      <w:r w:rsidRPr="00A10FB2">
        <w:rPr>
          <w:rFonts w:ascii="Verdana" w:eastAsia="Times New Roman" w:hAnsi="Verdana" w:cs="Times New Roman"/>
          <w:lang w:eastAsia="ro-RO"/>
        </w:rPr>
        <w:t xml:space="preserve">Se aprobă tariful de publicare în Buletinul procedurilor de insolvenţă a actelor de procedură emise de administratorii/lichidatorii judiciari în cadrul procedurii de insolvenţă reglementate de Legea nr. </w:t>
      </w:r>
      <w:hyperlink r:id="rId10" w:tooltip="ABROGATA - privind procedura insolvenţei (act publicat in M.Of. 359 din 21-apr-2006)" w:history="1">
        <w:r w:rsidRPr="00A10FB2">
          <w:rPr>
            <w:rFonts w:ascii="Verdana" w:eastAsia="Times New Roman" w:hAnsi="Verdana" w:cs="Times New Roman"/>
            <w:b/>
            <w:bCs/>
            <w:color w:val="333399"/>
            <w:u w:val="single"/>
            <w:lang w:eastAsia="ro-RO"/>
          </w:rPr>
          <w:t>85/2006</w:t>
        </w:r>
      </w:hyperlink>
      <w:r w:rsidRPr="00A10FB2">
        <w:rPr>
          <w:rFonts w:ascii="Verdana" w:eastAsia="Times New Roman" w:hAnsi="Verdana" w:cs="Times New Roman"/>
          <w:lang w:eastAsia="ro-RO"/>
        </w:rPr>
        <w:t xml:space="preserve"> privind procedura insolvenţei, cu modificările ulterioare, respectiv 34 lei/pagină de document.</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7" w:name="do|ar1|al2"/>
      <w:bookmarkEnd w:id="7"/>
      <w:r w:rsidRPr="00A10FB2">
        <w:rPr>
          <w:rFonts w:ascii="Verdana" w:eastAsia="Times New Roman" w:hAnsi="Verdana" w:cs="Times New Roman"/>
          <w:b/>
          <w:bCs/>
          <w:color w:val="008F00"/>
          <w:lang w:eastAsia="ro-RO"/>
        </w:rPr>
        <w:t>(2)</w:t>
      </w:r>
      <w:r w:rsidRPr="00A10FB2">
        <w:rPr>
          <w:rFonts w:ascii="Verdana" w:eastAsia="Times New Roman" w:hAnsi="Verdana" w:cs="Times New Roman"/>
          <w:lang w:eastAsia="ro-RO"/>
        </w:rPr>
        <w:t>Pentru publicarea actelor de procedură în maximum 24 de ore de la înregistrare se aplică un tarif suplimentar de 50%.</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8" w:name="do|ar2"/>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A10FB2">
        <w:rPr>
          <w:rFonts w:ascii="Verdana" w:eastAsia="Times New Roman" w:hAnsi="Verdana" w:cs="Times New Roman"/>
          <w:b/>
          <w:bCs/>
          <w:color w:val="0000AF"/>
          <w:lang w:eastAsia="ro-RO"/>
        </w:rPr>
        <w:t>Art. 2</w:t>
      </w:r>
    </w:p>
    <w:p w:rsidR="00A10FB2" w:rsidRPr="00A10FB2" w:rsidRDefault="00A10FB2" w:rsidP="00A10FB2">
      <w:pPr>
        <w:shd w:val="clear" w:color="auto" w:fill="CCCCCC"/>
        <w:spacing w:after="0" w:line="240" w:lineRule="auto"/>
        <w:jc w:val="both"/>
        <w:rPr>
          <w:rFonts w:ascii="Verdana" w:eastAsia="Times New Roman" w:hAnsi="Verdana" w:cs="Times New Roman"/>
          <w:lang w:eastAsia="ro-RO"/>
        </w:rPr>
      </w:pPr>
      <w:bookmarkStart w:id="9" w:name="do|ar2|al1"/>
      <w:bookmarkEnd w:id="9"/>
      <w:r w:rsidRPr="00A10FB2">
        <w:rPr>
          <w:rFonts w:ascii="Verdana" w:eastAsia="Times New Roman" w:hAnsi="Verdana" w:cs="Times New Roman"/>
          <w:b/>
          <w:bCs/>
          <w:color w:val="008F00"/>
          <w:lang w:eastAsia="ro-RO"/>
        </w:rPr>
        <w:t>(1)</w:t>
      </w:r>
      <w:r w:rsidRPr="00A10FB2">
        <w:rPr>
          <w:rFonts w:ascii="Verdana" w:eastAsia="Times New Roman" w:hAnsi="Verdana" w:cs="Times New Roman"/>
          <w:lang w:eastAsia="ro-RO"/>
        </w:rPr>
        <w:t>Tariful de publicare se calculează pe pagină de document, care conţine 32 de rânduri, şi include reprezentările grafice şi listele anexe. În situaţia în care pagina de document conţine până la 16 rânduri inclusiv, se aplică jumătate din tariful de publicare pe pagină.</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0" w:name="do|ar2|al2"/>
      <w:bookmarkEnd w:id="10"/>
      <w:r w:rsidRPr="00A10FB2">
        <w:rPr>
          <w:rFonts w:ascii="Verdana" w:eastAsia="Times New Roman" w:hAnsi="Verdana" w:cs="Times New Roman"/>
          <w:b/>
          <w:bCs/>
          <w:color w:val="008F00"/>
          <w:lang w:eastAsia="ro-RO"/>
        </w:rPr>
        <w:t>(2)</w:t>
      </w:r>
      <w:r w:rsidRPr="00A10FB2">
        <w:rPr>
          <w:rFonts w:ascii="Verdana" w:eastAsia="Times New Roman" w:hAnsi="Verdana" w:cs="Times New Roman"/>
          <w:lang w:eastAsia="ro-RO"/>
        </w:rPr>
        <w:t xml:space="preserve">Actele de procedură trebuie să respecte un minimum de cerinţe de publicare, respectiv: redactare sau export în Microsoft WORD, imprimare pe hârtie format A4 şi utilizare font Times New Roman, dimensiune 10, spaţiere la un rând, diacritice. Listele anexe, precum şi orice reprezentare grafică trebuie redactate sau exportate în Microsoft WORD, EXCEL şi imprimate pe hârtie format A4, prin excepţie A3. Fişierele în format electronic ale actelor de procedură trebuie să fie: doc, </w:t>
      </w:r>
      <w:proofErr w:type="spellStart"/>
      <w:r w:rsidRPr="00A10FB2">
        <w:rPr>
          <w:rFonts w:ascii="Verdana" w:eastAsia="Times New Roman" w:hAnsi="Verdana" w:cs="Times New Roman"/>
          <w:lang w:eastAsia="ro-RO"/>
        </w:rPr>
        <w:t>rtf</w:t>
      </w:r>
      <w:proofErr w:type="spellEnd"/>
      <w:r w:rsidRPr="00A10FB2">
        <w:rPr>
          <w:rFonts w:ascii="Verdana" w:eastAsia="Times New Roman" w:hAnsi="Verdana" w:cs="Times New Roman"/>
          <w:lang w:eastAsia="ro-RO"/>
        </w:rPr>
        <w:t xml:space="preserve">, </w:t>
      </w:r>
      <w:proofErr w:type="spellStart"/>
      <w:r w:rsidRPr="00A10FB2">
        <w:rPr>
          <w:rFonts w:ascii="Verdana" w:eastAsia="Times New Roman" w:hAnsi="Verdana" w:cs="Times New Roman"/>
          <w:lang w:eastAsia="ro-RO"/>
        </w:rPr>
        <w:t>txt</w:t>
      </w:r>
      <w:proofErr w:type="spellEnd"/>
      <w:r w:rsidRPr="00A10FB2">
        <w:rPr>
          <w:rFonts w:ascii="Verdana" w:eastAsia="Times New Roman" w:hAnsi="Verdana" w:cs="Times New Roman"/>
          <w:lang w:eastAsia="ro-RO"/>
        </w:rPr>
        <w:t xml:space="preserve">, </w:t>
      </w:r>
      <w:proofErr w:type="spellStart"/>
      <w:r w:rsidRPr="00A10FB2">
        <w:rPr>
          <w:rFonts w:ascii="Verdana" w:eastAsia="Times New Roman" w:hAnsi="Verdana" w:cs="Times New Roman"/>
          <w:lang w:eastAsia="ro-RO"/>
        </w:rPr>
        <w:t>xls</w:t>
      </w:r>
      <w:proofErr w:type="spellEnd"/>
      <w:r w:rsidRPr="00A10FB2">
        <w:rPr>
          <w:rFonts w:ascii="Verdana" w:eastAsia="Times New Roman" w:hAnsi="Verdana" w:cs="Times New Roman"/>
          <w:lang w:eastAsia="ro-RO"/>
        </w:rPr>
        <w:t>.</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1" w:name="do|ar2|al3"/>
      <w:bookmarkEnd w:id="11"/>
      <w:r w:rsidRPr="00A10FB2">
        <w:rPr>
          <w:rFonts w:ascii="Verdana" w:eastAsia="Times New Roman" w:hAnsi="Verdana" w:cs="Times New Roman"/>
          <w:b/>
          <w:bCs/>
          <w:color w:val="008F00"/>
          <w:lang w:eastAsia="ro-RO"/>
        </w:rPr>
        <w:t>(3)</w:t>
      </w:r>
      <w:r w:rsidRPr="00A10FB2">
        <w:rPr>
          <w:rFonts w:ascii="Verdana" w:eastAsia="Times New Roman" w:hAnsi="Verdana" w:cs="Times New Roman"/>
          <w:lang w:eastAsia="ro-RO"/>
        </w:rPr>
        <w:t>Actele de procedură trebuie să respecte regulile de ortografie, ortoepie şi de punctuaţie şi să nu conţină erori materiale.</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2" w:name="do|ar3"/>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A10FB2">
        <w:rPr>
          <w:rFonts w:ascii="Verdana" w:eastAsia="Times New Roman" w:hAnsi="Verdana" w:cs="Times New Roman"/>
          <w:b/>
          <w:bCs/>
          <w:color w:val="0000AF"/>
          <w:lang w:eastAsia="ro-RO"/>
        </w:rPr>
        <w:t>Art. 3</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3" w:name="do|ar3|pa1"/>
      <w:bookmarkEnd w:id="13"/>
      <w:r w:rsidRPr="00A10FB2">
        <w:rPr>
          <w:rFonts w:ascii="Verdana" w:eastAsia="Times New Roman" w:hAnsi="Verdana" w:cs="Times New Roman"/>
          <w:lang w:eastAsia="ro-RO"/>
        </w:rPr>
        <w:t>Oficiul Naţional al Registrului Comerţului stabileşte cerinţele de publicare pe care trebuie să le respecte actele de procedură, ori de câte ori este necesar.</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4" w:name="do|ar4"/>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A10FB2">
        <w:rPr>
          <w:rFonts w:ascii="Verdana" w:eastAsia="Times New Roman" w:hAnsi="Verdana" w:cs="Times New Roman"/>
          <w:b/>
          <w:bCs/>
          <w:color w:val="0000AF"/>
          <w:lang w:eastAsia="ro-RO"/>
        </w:rPr>
        <w:t>Art. 4</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5" w:name="do|ar4|pa1"/>
      <w:bookmarkEnd w:id="15"/>
      <w:r w:rsidRPr="00A10FB2">
        <w:rPr>
          <w:rFonts w:ascii="Verdana" w:eastAsia="Times New Roman" w:hAnsi="Verdana" w:cs="Times New Roman"/>
          <w:lang w:eastAsia="ro-RO"/>
        </w:rPr>
        <w:t>Tariful de publicare în Buletinul procedurilor de insolvenţă a actelor de procedură se actualizează anual cu rata inflaţiei.</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6" w:name="do|ar5"/>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A10FB2">
        <w:rPr>
          <w:rFonts w:ascii="Verdana" w:eastAsia="Times New Roman" w:hAnsi="Verdana" w:cs="Times New Roman"/>
          <w:b/>
          <w:bCs/>
          <w:color w:val="0000AF"/>
          <w:lang w:eastAsia="ro-RO"/>
        </w:rPr>
        <w:t>Art. 5</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7" w:name="do|ar5|pa1"/>
      <w:bookmarkEnd w:id="17"/>
      <w:r w:rsidRPr="00A10FB2">
        <w:rPr>
          <w:rFonts w:ascii="Verdana" w:eastAsia="Times New Roman" w:hAnsi="Verdana" w:cs="Times New Roman"/>
          <w:lang w:eastAsia="ro-RO"/>
        </w:rPr>
        <w:t>Administratorii şi lichidatorii judiciari şi Oficiul Naţional al Registrului Comerţului vor lua măsurile necesare în vederea ducerii la îndeplinire a prevederilor prezentului ordin.</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8" w:name="do|ar6"/>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A10FB2">
        <w:rPr>
          <w:rFonts w:ascii="Verdana" w:eastAsia="Times New Roman" w:hAnsi="Verdana" w:cs="Times New Roman"/>
          <w:b/>
          <w:bCs/>
          <w:color w:val="0000AF"/>
          <w:lang w:eastAsia="ro-RO"/>
        </w:rPr>
        <w:t>Art. 6</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19" w:name="do|ar6|pa1"/>
      <w:bookmarkEnd w:id="19"/>
      <w:r w:rsidRPr="00A10FB2">
        <w:rPr>
          <w:rFonts w:ascii="Verdana" w:eastAsia="Times New Roman" w:hAnsi="Verdana" w:cs="Times New Roman"/>
          <w:lang w:eastAsia="ro-RO"/>
        </w:rPr>
        <w:t>Prezentul ordin se publică în Monitorul Oficial al României, Partea I.</w:t>
      </w:r>
    </w:p>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20" w:name="do|pa5"/>
      <w:bookmarkEnd w:id="20"/>
      <w:r w:rsidRPr="00A10FB2">
        <w:rPr>
          <w:rFonts w:ascii="Verdana" w:eastAsia="Times New Roman" w:hAnsi="Verdana" w:cs="Times New Roman"/>
          <w:lang w:eastAsia="ro-RO"/>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A10FB2" w:rsidRPr="00A10FB2" w:rsidTr="00A10FB2">
        <w:trPr>
          <w:trHeight w:val="15"/>
          <w:tblCellSpacing w:w="0" w:type="dxa"/>
          <w:jc w:val="center"/>
        </w:trPr>
        <w:tc>
          <w:tcPr>
            <w:tcW w:w="0" w:type="auto"/>
            <w:tcMar>
              <w:top w:w="15" w:type="dxa"/>
              <w:left w:w="15" w:type="dxa"/>
              <w:bottom w:w="15" w:type="dxa"/>
              <w:right w:w="15" w:type="dxa"/>
            </w:tcMar>
            <w:hideMark/>
          </w:tcPr>
          <w:p w:rsidR="00A10FB2" w:rsidRPr="00A10FB2" w:rsidRDefault="00A10FB2" w:rsidP="00A10FB2">
            <w:pPr>
              <w:spacing w:after="0" w:line="240" w:lineRule="auto"/>
              <w:jc w:val="center"/>
              <w:rPr>
                <w:rFonts w:ascii="Verdana" w:eastAsia="Times New Roman" w:hAnsi="Verdana" w:cs="Times New Roman"/>
                <w:color w:val="000000"/>
                <w:sz w:val="16"/>
                <w:szCs w:val="16"/>
                <w:lang w:eastAsia="ro-RO"/>
              </w:rPr>
            </w:pPr>
            <w:bookmarkStart w:id="21" w:name="do|pa6"/>
            <w:bookmarkEnd w:id="21"/>
            <w:r w:rsidRPr="00A10FB2">
              <w:rPr>
                <w:rFonts w:ascii="Verdana" w:eastAsia="Times New Roman" w:hAnsi="Verdana" w:cs="Times New Roman"/>
                <w:color w:val="000000"/>
                <w:sz w:val="16"/>
                <w:szCs w:val="16"/>
                <w:lang w:eastAsia="ro-RO"/>
              </w:rPr>
              <w:t>p. Ministrul justiţiei,</w:t>
            </w:r>
          </w:p>
          <w:p w:rsidR="00A10FB2" w:rsidRPr="00A10FB2" w:rsidRDefault="00A10FB2" w:rsidP="00A10FB2">
            <w:pPr>
              <w:spacing w:after="0" w:line="240" w:lineRule="auto"/>
              <w:jc w:val="center"/>
              <w:rPr>
                <w:rFonts w:ascii="Verdana" w:eastAsia="Times New Roman" w:hAnsi="Verdana" w:cs="Times New Roman"/>
                <w:color w:val="000000"/>
                <w:sz w:val="16"/>
                <w:szCs w:val="16"/>
                <w:lang w:eastAsia="ro-RO"/>
              </w:rPr>
            </w:pPr>
            <w:r w:rsidRPr="00A10FB2">
              <w:rPr>
                <w:rFonts w:ascii="Verdana" w:eastAsia="Times New Roman" w:hAnsi="Verdana" w:cs="Times New Roman"/>
                <w:b/>
                <w:bCs/>
                <w:color w:val="000000"/>
                <w:sz w:val="16"/>
                <w:szCs w:val="16"/>
                <w:lang w:eastAsia="ro-RO"/>
              </w:rPr>
              <w:t xml:space="preserve">Katalin Barbara </w:t>
            </w:r>
            <w:proofErr w:type="spellStart"/>
            <w:r w:rsidRPr="00A10FB2">
              <w:rPr>
                <w:rFonts w:ascii="Verdana" w:eastAsia="Times New Roman" w:hAnsi="Verdana" w:cs="Times New Roman"/>
                <w:b/>
                <w:bCs/>
                <w:color w:val="000000"/>
                <w:sz w:val="16"/>
                <w:szCs w:val="16"/>
                <w:lang w:eastAsia="ro-RO"/>
              </w:rPr>
              <w:t>Kibedi</w:t>
            </w:r>
            <w:proofErr w:type="spellEnd"/>
            <w:r w:rsidRPr="00A10FB2">
              <w:rPr>
                <w:rFonts w:ascii="Verdana" w:eastAsia="Times New Roman" w:hAnsi="Verdana" w:cs="Times New Roman"/>
                <w:b/>
                <w:bCs/>
                <w:color w:val="000000"/>
                <w:sz w:val="16"/>
                <w:szCs w:val="16"/>
                <w:lang w:eastAsia="ro-RO"/>
              </w:rPr>
              <w:t>,</w:t>
            </w:r>
          </w:p>
          <w:p w:rsidR="00A10FB2" w:rsidRPr="00A10FB2" w:rsidRDefault="00A10FB2" w:rsidP="00A10FB2">
            <w:pPr>
              <w:spacing w:after="0" w:line="15" w:lineRule="atLeast"/>
              <w:jc w:val="center"/>
              <w:rPr>
                <w:rFonts w:ascii="Verdana" w:eastAsia="Times New Roman" w:hAnsi="Verdana" w:cs="Times New Roman"/>
                <w:color w:val="000000"/>
                <w:sz w:val="16"/>
                <w:szCs w:val="16"/>
                <w:lang w:eastAsia="ro-RO"/>
              </w:rPr>
            </w:pPr>
            <w:r w:rsidRPr="00A10FB2">
              <w:rPr>
                <w:rFonts w:ascii="Verdana" w:eastAsia="Times New Roman" w:hAnsi="Verdana" w:cs="Times New Roman"/>
                <w:color w:val="000000"/>
                <w:sz w:val="16"/>
                <w:szCs w:val="16"/>
                <w:lang w:eastAsia="ro-RO"/>
              </w:rPr>
              <w:t>secretar de stat</w:t>
            </w:r>
          </w:p>
        </w:tc>
      </w:tr>
    </w:tbl>
    <w:p w:rsidR="00A10FB2" w:rsidRPr="00A10FB2" w:rsidRDefault="00A10FB2" w:rsidP="00A10FB2">
      <w:pPr>
        <w:shd w:val="clear" w:color="auto" w:fill="FFFFFF"/>
        <w:spacing w:after="0" w:line="240" w:lineRule="auto"/>
        <w:jc w:val="both"/>
        <w:rPr>
          <w:rFonts w:ascii="Verdana" w:eastAsia="Times New Roman" w:hAnsi="Verdana" w:cs="Times New Roman"/>
          <w:lang w:eastAsia="ro-RO"/>
        </w:rPr>
      </w:pPr>
      <w:bookmarkStart w:id="22" w:name="do|pa7"/>
      <w:bookmarkEnd w:id="22"/>
      <w:r w:rsidRPr="00A10FB2">
        <w:rPr>
          <w:rFonts w:ascii="Verdana" w:eastAsia="Times New Roman" w:hAnsi="Verdana" w:cs="Times New Roman"/>
          <w:lang w:eastAsia="ro-RO"/>
        </w:rPr>
        <w:t>Publicat în Monitorul Oficial cu numărul 141 din data de 27 februarie 2007</w:t>
      </w:r>
      <w:bookmarkStart w:id="23" w:name="_GoBack"/>
      <w:bookmarkEnd w:id="23"/>
    </w:p>
    <w:p w:rsidR="007D3C7F" w:rsidRDefault="007D3C7F"/>
    <w:sectPr w:rsidR="007D3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D1"/>
    <w:rsid w:val="006174D1"/>
    <w:rsid w:val="007D3C7F"/>
    <w:rsid w:val="00A10F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A10FB2"/>
    <w:rPr>
      <w:b/>
      <w:bCs/>
      <w:color w:val="333399"/>
      <w:u w:val="single"/>
    </w:rPr>
  </w:style>
  <w:style w:type="character" w:customStyle="1" w:styleId="do1">
    <w:name w:val="do1"/>
    <w:basedOn w:val="Fontdeparagrafimplicit"/>
    <w:rsid w:val="00A10FB2"/>
    <w:rPr>
      <w:b/>
      <w:bCs/>
      <w:sz w:val="26"/>
      <w:szCs w:val="26"/>
    </w:rPr>
  </w:style>
  <w:style w:type="character" w:customStyle="1" w:styleId="tpa1">
    <w:name w:val="tpa1"/>
    <w:basedOn w:val="Fontdeparagrafimplicit"/>
    <w:rsid w:val="00A10FB2"/>
  </w:style>
  <w:style w:type="character" w:customStyle="1" w:styleId="ar1">
    <w:name w:val="ar1"/>
    <w:basedOn w:val="Fontdeparagrafimplicit"/>
    <w:rsid w:val="00A10FB2"/>
    <w:rPr>
      <w:b/>
      <w:bCs/>
      <w:color w:val="0000AF"/>
      <w:sz w:val="22"/>
      <w:szCs w:val="22"/>
    </w:rPr>
  </w:style>
  <w:style w:type="character" w:customStyle="1" w:styleId="al1">
    <w:name w:val="al1"/>
    <w:basedOn w:val="Fontdeparagrafimplicit"/>
    <w:rsid w:val="00A10FB2"/>
    <w:rPr>
      <w:b/>
      <w:bCs/>
      <w:color w:val="008F00"/>
    </w:rPr>
  </w:style>
  <w:style w:type="character" w:customStyle="1" w:styleId="tal1">
    <w:name w:val="tal1"/>
    <w:basedOn w:val="Fontdeparagrafimplicit"/>
    <w:rsid w:val="00A10FB2"/>
  </w:style>
  <w:style w:type="paragraph" w:styleId="TextnBalon">
    <w:name w:val="Balloon Text"/>
    <w:basedOn w:val="Normal"/>
    <w:link w:val="TextnBalonCaracter"/>
    <w:uiPriority w:val="99"/>
    <w:semiHidden/>
    <w:unhideWhenUsed/>
    <w:rsid w:val="00A10FB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10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A10FB2"/>
    <w:rPr>
      <w:b/>
      <w:bCs/>
      <w:color w:val="333399"/>
      <w:u w:val="single"/>
    </w:rPr>
  </w:style>
  <w:style w:type="character" w:customStyle="1" w:styleId="do1">
    <w:name w:val="do1"/>
    <w:basedOn w:val="Fontdeparagrafimplicit"/>
    <w:rsid w:val="00A10FB2"/>
    <w:rPr>
      <w:b/>
      <w:bCs/>
      <w:sz w:val="26"/>
      <w:szCs w:val="26"/>
    </w:rPr>
  </w:style>
  <w:style w:type="character" w:customStyle="1" w:styleId="tpa1">
    <w:name w:val="tpa1"/>
    <w:basedOn w:val="Fontdeparagrafimplicit"/>
    <w:rsid w:val="00A10FB2"/>
  </w:style>
  <w:style w:type="character" w:customStyle="1" w:styleId="ar1">
    <w:name w:val="ar1"/>
    <w:basedOn w:val="Fontdeparagrafimplicit"/>
    <w:rsid w:val="00A10FB2"/>
    <w:rPr>
      <w:b/>
      <w:bCs/>
      <w:color w:val="0000AF"/>
      <w:sz w:val="22"/>
      <w:szCs w:val="22"/>
    </w:rPr>
  </w:style>
  <w:style w:type="character" w:customStyle="1" w:styleId="al1">
    <w:name w:val="al1"/>
    <w:basedOn w:val="Fontdeparagrafimplicit"/>
    <w:rsid w:val="00A10FB2"/>
    <w:rPr>
      <w:b/>
      <w:bCs/>
      <w:color w:val="008F00"/>
    </w:rPr>
  </w:style>
  <w:style w:type="character" w:customStyle="1" w:styleId="tal1">
    <w:name w:val="tal1"/>
    <w:basedOn w:val="Fontdeparagrafimplicit"/>
    <w:rsid w:val="00A10FB2"/>
  </w:style>
  <w:style w:type="paragraph" w:styleId="TextnBalon">
    <w:name w:val="Balloon Text"/>
    <w:basedOn w:val="Normal"/>
    <w:link w:val="TextnBalonCaracter"/>
    <w:uiPriority w:val="99"/>
    <w:semiHidden/>
    <w:unhideWhenUsed/>
    <w:rsid w:val="00A10FB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10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4960">
      <w:bodyDiv w:val="1"/>
      <w:marLeft w:val="0"/>
      <w:marRight w:val="0"/>
      <w:marTop w:val="0"/>
      <w:marBottom w:val="0"/>
      <w:divBdr>
        <w:top w:val="none" w:sz="0" w:space="0" w:color="auto"/>
        <w:left w:val="none" w:sz="0" w:space="0" w:color="auto"/>
        <w:bottom w:val="none" w:sz="0" w:space="0" w:color="auto"/>
        <w:right w:val="none" w:sz="0" w:space="0" w:color="auto"/>
      </w:divBdr>
      <w:divsChild>
        <w:div w:id="1896427124">
          <w:marLeft w:val="0"/>
          <w:marRight w:val="0"/>
          <w:marTop w:val="0"/>
          <w:marBottom w:val="0"/>
          <w:divBdr>
            <w:top w:val="none" w:sz="0" w:space="0" w:color="auto"/>
            <w:left w:val="none" w:sz="0" w:space="0" w:color="auto"/>
            <w:bottom w:val="none" w:sz="0" w:space="0" w:color="auto"/>
            <w:right w:val="none" w:sz="0" w:space="0" w:color="auto"/>
          </w:divBdr>
          <w:divsChild>
            <w:div w:id="841629428">
              <w:marLeft w:val="0"/>
              <w:marRight w:val="0"/>
              <w:marTop w:val="0"/>
              <w:marBottom w:val="0"/>
              <w:divBdr>
                <w:top w:val="dashed" w:sz="2" w:space="0" w:color="FFFFFF"/>
                <w:left w:val="dashed" w:sz="2" w:space="0" w:color="FFFFFF"/>
                <w:bottom w:val="dashed" w:sz="2" w:space="0" w:color="FFFFFF"/>
                <w:right w:val="dashed" w:sz="2" w:space="0" w:color="FFFFFF"/>
              </w:divBdr>
            </w:div>
            <w:div w:id="955261217">
              <w:marLeft w:val="0"/>
              <w:marRight w:val="0"/>
              <w:marTop w:val="0"/>
              <w:marBottom w:val="0"/>
              <w:divBdr>
                <w:top w:val="dashed" w:sz="2" w:space="0" w:color="FFFFFF"/>
                <w:left w:val="dashed" w:sz="2" w:space="0" w:color="FFFFFF"/>
                <w:bottom w:val="dashed" w:sz="2" w:space="0" w:color="FFFFFF"/>
                <w:right w:val="dashed" w:sz="2" w:space="0" w:color="FFFFFF"/>
              </w:divBdr>
              <w:divsChild>
                <w:div w:id="571426303">
                  <w:marLeft w:val="0"/>
                  <w:marRight w:val="0"/>
                  <w:marTop w:val="0"/>
                  <w:marBottom w:val="0"/>
                  <w:divBdr>
                    <w:top w:val="dashed" w:sz="2" w:space="0" w:color="FFFFFF"/>
                    <w:left w:val="dashed" w:sz="2" w:space="0" w:color="FFFFFF"/>
                    <w:bottom w:val="dashed" w:sz="2" w:space="0" w:color="FFFFFF"/>
                    <w:right w:val="dashed" w:sz="2" w:space="0" w:color="FFFFFF"/>
                  </w:divBdr>
                </w:div>
                <w:div w:id="1741831574">
                  <w:marLeft w:val="0"/>
                  <w:marRight w:val="0"/>
                  <w:marTop w:val="0"/>
                  <w:marBottom w:val="0"/>
                  <w:divBdr>
                    <w:top w:val="dashed" w:sz="2" w:space="0" w:color="FFFFFF"/>
                    <w:left w:val="dashed" w:sz="2" w:space="0" w:color="FFFFFF"/>
                    <w:bottom w:val="dashed" w:sz="2" w:space="0" w:color="FFFFFF"/>
                    <w:right w:val="dashed" w:sz="2" w:space="0" w:color="FFFFFF"/>
                  </w:divBdr>
                </w:div>
                <w:div w:id="1328899723">
                  <w:marLeft w:val="0"/>
                  <w:marRight w:val="0"/>
                  <w:marTop w:val="0"/>
                  <w:marBottom w:val="0"/>
                  <w:divBdr>
                    <w:top w:val="dashed" w:sz="2" w:space="0" w:color="FFFFFF"/>
                    <w:left w:val="dashed" w:sz="2" w:space="0" w:color="FFFFFF"/>
                    <w:bottom w:val="dashed" w:sz="2" w:space="0" w:color="FFFFFF"/>
                    <w:right w:val="dashed" w:sz="2" w:space="0" w:color="FFFFFF"/>
                  </w:divBdr>
                </w:div>
                <w:div w:id="40249479">
                  <w:marLeft w:val="0"/>
                  <w:marRight w:val="0"/>
                  <w:marTop w:val="0"/>
                  <w:marBottom w:val="0"/>
                  <w:divBdr>
                    <w:top w:val="dashed" w:sz="2" w:space="0" w:color="FFFFFF"/>
                    <w:left w:val="dashed" w:sz="2" w:space="0" w:color="FFFFFF"/>
                    <w:bottom w:val="dashed" w:sz="2" w:space="0" w:color="FFFFFF"/>
                    <w:right w:val="dashed" w:sz="2" w:space="0" w:color="FFFFFF"/>
                  </w:divBdr>
                </w:div>
                <w:div w:id="1310161784">
                  <w:marLeft w:val="0"/>
                  <w:marRight w:val="0"/>
                  <w:marTop w:val="0"/>
                  <w:marBottom w:val="0"/>
                  <w:divBdr>
                    <w:top w:val="dashed" w:sz="2" w:space="0" w:color="FFFFFF"/>
                    <w:left w:val="dashed" w:sz="2" w:space="0" w:color="FFFFFF"/>
                    <w:bottom w:val="dashed" w:sz="2" w:space="0" w:color="FFFFFF"/>
                    <w:right w:val="dashed" w:sz="2" w:space="0" w:color="FFFFFF"/>
                  </w:divBdr>
                </w:div>
                <w:div w:id="1082994611">
                  <w:marLeft w:val="0"/>
                  <w:marRight w:val="0"/>
                  <w:marTop w:val="0"/>
                  <w:marBottom w:val="0"/>
                  <w:divBdr>
                    <w:top w:val="dashed" w:sz="2" w:space="0" w:color="FFFFFF"/>
                    <w:left w:val="dashed" w:sz="2" w:space="0" w:color="FFFFFF"/>
                    <w:bottom w:val="dashed" w:sz="2" w:space="0" w:color="FFFFFF"/>
                    <w:right w:val="dashed" w:sz="2" w:space="0" w:color="FFFFFF"/>
                  </w:divBdr>
                  <w:divsChild>
                    <w:div w:id="1746224234">
                      <w:marLeft w:val="0"/>
                      <w:marRight w:val="0"/>
                      <w:marTop w:val="0"/>
                      <w:marBottom w:val="0"/>
                      <w:divBdr>
                        <w:top w:val="dashed" w:sz="2" w:space="0" w:color="FFFFFF"/>
                        <w:left w:val="dashed" w:sz="2" w:space="0" w:color="FFFFFF"/>
                        <w:bottom w:val="dashed" w:sz="2" w:space="0" w:color="FFFFFF"/>
                        <w:right w:val="dashed" w:sz="2" w:space="0" w:color="FFFFFF"/>
                      </w:divBdr>
                    </w:div>
                    <w:div w:id="1025063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8303578">
                  <w:marLeft w:val="0"/>
                  <w:marRight w:val="0"/>
                  <w:marTop w:val="0"/>
                  <w:marBottom w:val="0"/>
                  <w:divBdr>
                    <w:top w:val="dashed" w:sz="2" w:space="0" w:color="FFFFFF"/>
                    <w:left w:val="dashed" w:sz="2" w:space="0" w:color="FFFFFF"/>
                    <w:bottom w:val="dashed" w:sz="2" w:space="0" w:color="FFFFFF"/>
                    <w:right w:val="dashed" w:sz="2" w:space="0" w:color="FFFFFF"/>
                  </w:divBdr>
                </w:div>
                <w:div w:id="1314601377">
                  <w:marLeft w:val="0"/>
                  <w:marRight w:val="0"/>
                  <w:marTop w:val="0"/>
                  <w:marBottom w:val="0"/>
                  <w:divBdr>
                    <w:top w:val="dashed" w:sz="2" w:space="0" w:color="FFFFFF"/>
                    <w:left w:val="dashed" w:sz="2" w:space="0" w:color="FFFFFF"/>
                    <w:bottom w:val="dashed" w:sz="2" w:space="0" w:color="FFFFFF"/>
                    <w:right w:val="dashed" w:sz="2" w:space="0" w:color="FFFFFF"/>
                  </w:divBdr>
                  <w:divsChild>
                    <w:div w:id="708526639">
                      <w:marLeft w:val="0"/>
                      <w:marRight w:val="0"/>
                      <w:marTop w:val="0"/>
                      <w:marBottom w:val="0"/>
                      <w:divBdr>
                        <w:top w:val="dashed" w:sz="2" w:space="0" w:color="666666"/>
                        <w:left w:val="dashed" w:sz="2" w:space="0" w:color="666666"/>
                        <w:bottom w:val="dashed" w:sz="2" w:space="0" w:color="666666"/>
                        <w:right w:val="dashed" w:sz="2" w:space="0" w:color="666666"/>
                      </w:divBdr>
                    </w:div>
                    <w:div w:id="666325606">
                      <w:marLeft w:val="0"/>
                      <w:marRight w:val="0"/>
                      <w:marTop w:val="0"/>
                      <w:marBottom w:val="0"/>
                      <w:divBdr>
                        <w:top w:val="dashed" w:sz="2" w:space="0" w:color="FFFFFF"/>
                        <w:left w:val="dashed" w:sz="2" w:space="0" w:color="FFFFFF"/>
                        <w:bottom w:val="dashed" w:sz="2" w:space="0" w:color="FFFFFF"/>
                        <w:right w:val="dashed" w:sz="2" w:space="0" w:color="FFFFFF"/>
                      </w:divBdr>
                    </w:div>
                    <w:div w:id="979574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346791">
                  <w:marLeft w:val="0"/>
                  <w:marRight w:val="0"/>
                  <w:marTop w:val="0"/>
                  <w:marBottom w:val="0"/>
                  <w:divBdr>
                    <w:top w:val="dashed" w:sz="2" w:space="0" w:color="FFFFFF"/>
                    <w:left w:val="dashed" w:sz="2" w:space="0" w:color="FFFFFF"/>
                    <w:bottom w:val="dashed" w:sz="2" w:space="0" w:color="FFFFFF"/>
                    <w:right w:val="dashed" w:sz="2" w:space="0" w:color="FFFFFF"/>
                  </w:divBdr>
                </w:div>
                <w:div w:id="278149673">
                  <w:marLeft w:val="0"/>
                  <w:marRight w:val="0"/>
                  <w:marTop w:val="0"/>
                  <w:marBottom w:val="0"/>
                  <w:divBdr>
                    <w:top w:val="dashed" w:sz="2" w:space="0" w:color="FFFFFF"/>
                    <w:left w:val="dashed" w:sz="2" w:space="0" w:color="FFFFFF"/>
                    <w:bottom w:val="dashed" w:sz="2" w:space="0" w:color="FFFFFF"/>
                    <w:right w:val="dashed" w:sz="2" w:space="0" w:color="FFFFFF"/>
                  </w:divBdr>
                  <w:divsChild>
                    <w:div w:id="21328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296323">
                  <w:marLeft w:val="0"/>
                  <w:marRight w:val="0"/>
                  <w:marTop w:val="0"/>
                  <w:marBottom w:val="0"/>
                  <w:divBdr>
                    <w:top w:val="dashed" w:sz="2" w:space="0" w:color="FFFFFF"/>
                    <w:left w:val="dashed" w:sz="2" w:space="0" w:color="FFFFFF"/>
                    <w:bottom w:val="dashed" w:sz="2" w:space="0" w:color="FFFFFF"/>
                    <w:right w:val="dashed" w:sz="2" w:space="0" w:color="FFFFFF"/>
                  </w:divBdr>
                </w:div>
                <w:div w:id="1062027297">
                  <w:marLeft w:val="0"/>
                  <w:marRight w:val="0"/>
                  <w:marTop w:val="0"/>
                  <w:marBottom w:val="0"/>
                  <w:divBdr>
                    <w:top w:val="dashed" w:sz="2" w:space="0" w:color="FFFFFF"/>
                    <w:left w:val="dashed" w:sz="2" w:space="0" w:color="FFFFFF"/>
                    <w:bottom w:val="dashed" w:sz="2" w:space="0" w:color="FFFFFF"/>
                    <w:right w:val="dashed" w:sz="2" w:space="0" w:color="FFFFFF"/>
                  </w:divBdr>
                  <w:divsChild>
                    <w:div w:id="672727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554047">
                  <w:marLeft w:val="0"/>
                  <w:marRight w:val="0"/>
                  <w:marTop w:val="0"/>
                  <w:marBottom w:val="0"/>
                  <w:divBdr>
                    <w:top w:val="dashed" w:sz="2" w:space="0" w:color="FFFFFF"/>
                    <w:left w:val="dashed" w:sz="2" w:space="0" w:color="FFFFFF"/>
                    <w:bottom w:val="dashed" w:sz="2" w:space="0" w:color="FFFFFF"/>
                    <w:right w:val="dashed" w:sz="2" w:space="0" w:color="FFFFFF"/>
                  </w:divBdr>
                </w:div>
                <w:div w:id="1650550020">
                  <w:marLeft w:val="0"/>
                  <w:marRight w:val="0"/>
                  <w:marTop w:val="0"/>
                  <w:marBottom w:val="0"/>
                  <w:divBdr>
                    <w:top w:val="dashed" w:sz="2" w:space="0" w:color="FFFFFF"/>
                    <w:left w:val="dashed" w:sz="2" w:space="0" w:color="FFFFFF"/>
                    <w:bottom w:val="dashed" w:sz="2" w:space="0" w:color="FFFFFF"/>
                    <w:right w:val="dashed" w:sz="2" w:space="0" w:color="FFFFFF"/>
                  </w:divBdr>
                  <w:divsChild>
                    <w:div w:id="1994405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548835">
                  <w:marLeft w:val="0"/>
                  <w:marRight w:val="0"/>
                  <w:marTop w:val="0"/>
                  <w:marBottom w:val="0"/>
                  <w:divBdr>
                    <w:top w:val="dashed" w:sz="2" w:space="0" w:color="FFFFFF"/>
                    <w:left w:val="dashed" w:sz="2" w:space="0" w:color="FFFFFF"/>
                    <w:bottom w:val="dashed" w:sz="2" w:space="0" w:color="FFFFFF"/>
                    <w:right w:val="dashed" w:sz="2" w:space="0" w:color="FFFFFF"/>
                  </w:divBdr>
                </w:div>
                <w:div w:id="2091729769">
                  <w:marLeft w:val="0"/>
                  <w:marRight w:val="0"/>
                  <w:marTop w:val="0"/>
                  <w:marBottom w:val="0"/>
                  <w:divBdr>
                    <w:top w:val="dashed" w:sz="2" w:space="0" w:color="FFFFFF"/>
                    <w:left w:val="dashed" w:sz="2" w:space="0" w:color="FFFFFF"/>
                    <w:bottom w:val="dashed" w:sz="2" w:space="0" w:color="FFFFFF"/>
                    <w:right w:val="dashed" w:sz="2" w:space="0" w:color="FFFFFF"/>
                  </w:divBdr>
                  <w:divsChild>
                    <w:div w:id="1487092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748935">
                  <w:marLeft w:val="0"/>
                  <w:marRight w:val="0"/>
                  <w:marTop w:val="0"/>
                  <w:marBottom w:val="0"/>
                  <w:divBdr>
                    <w:top w:val="dashed" w:sz="2" w:space="0" w:color="FFFFFF"/>
                    <w:left w:val="dashed" w:sz="2" w:space="0" w:color="FFFFFF"/>
                    <w:bottom w:val="dashed" w:sz="2" w:space="0" w:color="FFFFFF"/>
                    <w:right w:val="dashed" w:sz="2" w:space="0" w:color="FFFFFF"/>
                  </w:divBdr>
                </w:div>
                <w:div w:id="1912304077">
                  <w:marLeft w:val="0"/>
                  <w:marRight w:val="0"/>
                  <w:marTop w:val="0"/>
                  <w:marBottom w:val="0"/>
                  <w:divBdr>
                    <w:top w:val="dashed" w:sz="2" w:space="0" w:color="FFFFFF"/>
                    <w:left w:val="dashed" w:sz="2" w:space="0" w:color="FFFFFF"/>
                    <w:bottom w:val="dashed" w:sz="2" w:space="0" w:color="FFFFFF"/>
                    <w:right w:val="dashed" w:sz="2" w:space="0" w:color="FFFFFF"/>
                  </w:divBdr>
                </w:div>
                <w:div w:id="1841115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1449742\00083614.htm" TargetMode="External"/><Relationship Id="rId3" Type="http://schemas.openxmlformats.org/officeDocument/2006/relationships/settings" Target="settings.xml"/><Relationship Id="rId7" Type="http://schemas.openxmlformats.org/officeDocument/2006/relationships/hyperlink" Target="file:///C:\Users\testoem\sintact%204.0\cache\Legislatie\temp1449742\00092148.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file:///C:\Users\testoem\sintact%204.0\cache\Legislatie\temp1449742\00100631.HTML" TargetMode="External"/><Relationship Id="rId10" Type="http://schemas.openxmlformats.org/officeDocument/2006/relationships/hyperlink" Target="file:///C:\Users\testoem\sintact%204.0\cache\Legislatie\temp1449742\00092148.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1449742\00081098.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2855</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2017-12-08T09:15:00Z</dcterms:created>
  <dcterms:modified xsi:type="dcterms:W3CDTF">2017-12-08T09:15:00Z</dcterms:modified>
</cp:coreProperties>
</file>