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9060" cy="99060"/>
            <wp:effectExtent l="0" t="0" r="0" b="0"/>
            <wp:docPr id="16" name="Imagine 16" descr="C:\Users\operato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operato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0"/>
      <w:r w:rsidRPr="00456B9A">
        <w:rPr>
          <w:rFonts w:ascii="Verdana" w:eastAsia="Times New Roman" w:hAnsi="Verdana" w:cs="Times New Roman"/>
          <w:b/>
          <w:bCs/>
          <w:sz w:val="26"/>
          <w:szCs w:val="26"/>
          <w:lang w:eastAsia="ro-RO"/>
        </w:rPr>
        <w:t>HOTĂRÂRE nr. 124 din 7 februarie 2007 pentru aprobarea preţului de vânzare al Buletinului procedurilor de insolvenţă</w:t>
      </w:r>
      <w:r w:rsidRPr="00456B9A">
        <w:rPr>
          <w:rFonts w:ascii="Verdana" w:eastAsia="Times New Roman" w:hAnsi="Verdana" w:cs="Times New Roman"/>
          <w:lang w:eastAsia="ro-RO"/>
        </w:rPr>
        <w:br/>
      </w:r>
      <w:bookmarkStart w:id="1" w:name="do|pa1"/>
      <w:bookmarkEnd w:id="1"/>
      <w:r w:rsidRPr="00456B9A">
        <w:rPr>
          <w:rFonts w:ascii="Verdana" w:eastAsia="Times New Roman" w:hAnsi="Verdana" w:cs="Times New Roman"/>
          <w:lang w:eastAsia="ro-RO"/>
        </w:rPr>
        <w:t xml:space="preserve">În temeiul art. 108 din Constituţia României, republicată, şi al art. II alin. (7) din Legea nr. </w:t>
      </w:r>
      <w:hyperlink r:id="rId7" w:history="1">
        <w:r w:rsidRPr="00456B9A">
          <w:rPr>
            <w:rFonts w:ascii="Verdana" w:eastAsia="Times New Roman" w:hAnsi="Verdana" w:cs="Times New Roman"/>
            <w:b/>
            <w:bCs/>
            <w:color w:val="333399"/>
            <w:u w:val="single"/>
            <w:lang w:eastAsia="ro-RO"/>
          </w:rPr>
          <w:t>149/2004</w:t>
        </w:r>
      </w:hyperlink>
      <w:r w:rsidRPr="00456B9A">
        <w:rPr>
          <w:rFonts w:ascii="Verdana" w:eastAsia="Times New Roman" w:hAnsi="Verdana" w:cs="Times New Roman"/>
          <w:lang w:eastAsia="ro-RO"/>
        </w:rPr>
        <w:t xml:space="preserve"> pentru modificarea şi completarea Legii nr. </w:t>
      </w:r>
      <w:hyperlink r:id="rId8" w:history="1">
        <w:r w:rsidRPr="00456B9A">
          <w:rPr>
            <w:rFonts w:ascii="Verdana" w:eastAsia="Times New Roman" w:hAnsi="Verdana" w:cs="Times New Roman"/>
            <w:b/>
            <w:bCs/>
            <w:color w:val="333399"/>
            <w:u w:val="single"/>
            <w:lang w:eastAsia="ro-RO"/>
          </w:rPr>
          <w:t>64/1995</w:t>
        </w:r>
      </w:hyperlink>
      <w:r w:rsidRPr="00456B9A">
        <w:rPr>
          <w:rFonts w:ascii="Verdana" w:eastAsia="Times New Roman" w:hAnsi="Verdana" w:cs="Times New Roman"/>
          <w:lang w:eastAsia="ro-RO"/>
        </w:rPr>
        <w:t xml:space="preserve"> privind procedura reorganizării judiciare şi a falimentului, precum şi a altor acte normative cu incidenţă asupra acestei proceduri, cu modificările ulterioare,</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2" w:name="do|pa2"/>
      <w:bookmarkEnd w:id="2"/>
      <w:r w:rsidRPr="00456B9A">
        <w:rPr>
          <w:rFonts w:ascii="Verdana" w:eastAsia="Times New Roman" w:hAnsi="Verdana" w:cs="Times New Roman"/>
          <w:b/>
          <w:bCs/>
          <w:lang w:eastAsia="ro-RO"/>
        </w:rPr>
        <w:t>Guvernul României</w:t>
      </w:r>
      <w:r w:rsidRPr="00456B9A">
        <w:rPr>
          <w:rFonts w:ascii="Verdana" w:eastAsia="Times New Roman" w:hAnsi="Verdana" w:cs="Times New Roman"/>
          <w:lang w:eastAsia="ro-RO"/>
        </w:rPr>
        <w:t xml:space="preserve"> adoptă prezenta hotărâre.</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3" w:name="do|ar1"/>
      <w:r>
        <w:rPr>
          <w:rFonts w:ascii="Verdana" w:eastAsia="Times New Roman" w:hAnsi="Verdana" w:cs="Times New Roman"/>
          <w:b/>
          <w:bCs/>
          <w:noProof/>
          <w:color w:val="333399"/>
          <w:lang w:eastAsia="ro-RO"/>
        </w:rPr>
        <w:drawing>
          <wp:inline distT="0" distB="0" distL="0" distR="0">
            <wp:extent cx="99060" cy="99060"/>
            <wp:effectExtent l="0" t="0" r="0" b="0"/>
            <wp:docPr id="15" name="Imagine 15" descr="C:\Users\operato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operato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
      <w:r w:rsidRPr="00456B9A">
        <w:rPr>
          <w:rFonts w:ascii="Verdana" w:eastAsia="Times New Roman" w:hAnsi="Verdana" w:cs="Times New Roman"/>
          <w:b/>
          <w:bCs/>
          <w:color w:val="0000AF"/>
          <w:lang w:eastAsia="ro-RO"/>
        </w:rPr>
        <w:t>Art. 1</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4" w:name="do|ar1|pa1"/>
      <w:bookmarkEnd w:id="4"/>
      <w:r w:rsidRPr="00456B9A">
        <w:rPr>
          <w:rFonts w:ascii="Verdana" w:eastAsia="Times New Roman" w:hAnsi="Verdana" w:cs="Times New Roman"/>
          <w:lang w:eastAsia="ro-RO"/>
        </w:rPr>
        <w:t>Se aprobă preţul de vânzare al Buletinului procedurilor de insolvenţă, individual şi pe bază de abonament, pe suport fizic, prevăzut în anexa nr. 1.</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5" w:name="do|ar2"/>
      <w:r>
        <w:rPr>
          <w:rFonts w:ascii="Verdana" w:eastAsia="Times New Roman" w:hAnsi="Verdana" w:cs="Times New Roman"/>
          <w:b/>
          <w:bCs/>
          <w:noProof/>
          <w:color w:val="333399"/>
          <w:lang w:eastAsia="ro-RO"/>
        </w:rPr>
        <w:drawing>
          <wp:inline distT="0" distB="0" distL="0" distR="0">
            <wp:extent cx="99060" cy="99060"/>
            <wp:effectExtent l="0" t="0" r="0" b="0"/>
            <wp:docPr id="14" name="Imagine 14" descr="C:\Users\operato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operato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
      <w:r w:rsidRPr="00456B9A">
        <w:rPr>
          <w:rFonts w:ascii="Verdana" w:eastAsia="Times New Roman" w:hAnsi="Verdana" w:cs="Times New Roman"/>
          <w:b/>
          <w:bCs/>
          <w:color w:val="0000AF"/>
          <w:lang w:eastAsia="ro-RO"/>
        </w:rPr>
        <w:t>Art. 2</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6" w:name="do|ar2|pa1"/>
      <w:bookmarkEnd w:id="6"/>
      <w:r w:rsidRPr="00456B9A">
        <w:rPr>
          <w:rFonts w:ascii="Verdana" w:eastAsia="Times New Roman" w:hAnsi="Verdana" w:cs="Times New Roman"/>
          <w:lang w:eastAsia="ro-RO"/>
        </w:rPr>
        <w:t>Se aprobă preţul de vânzare al Buletinului procedurilor de insolvenţă, pe bază de abonament, pe suport electronic, prevăzut în anexa nr. 2.</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7" w:name="do|ar3"/>
      <w:r>
        <w:rPr>
          <w:rFonts w:ascii="Verdana" w:eastAsia="Times New Roman" w:hAnsi="Verdana" w:cs="Times New Roman"/>
          <w:b/>
          <w:bCs/>
          <w:noProof/>
          <w:color w:val="333399"/>
          <w:lang w:eastAsia="ro-RO"/>
        </w:rPr>
        <w:drawing>
          <wp:inline distT="0" distB="0" distL="0" distR="0">
            <wp:extent cx="99060" cy="99060"/>
            <wp:effectExtent l="0" t="0" r="0" b="0"/>
            <wp:docPr id="13" name="Imagine 13" descr="C:\Users\operato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operato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
      <w:r w:rsidRPr="00456B9A">
        <w:rPr>
          <w:rFonts w:ascii="Verdana" w:eastAsia="Times New Roman" w:hAnsi="Verdana" w:cs="Times New Roman"/>
          <w:b/>
          <w:bCs/>
          <w:color w:val="0000AF"/>
          <w:lang w:eastAsia="ro-RO"/>
        </w:rPr>
        <w:t>Art. 3</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8" w:name="do|ar3|pa1"/>
      <w:bookmarkEnd w:id="8"/>
      <w:r w:rsidRPr="00456B9A">
        <w:rPr>
          <w:rFonts w:ascii="Verdana" w:eastAsia="Times New Roman" w:hAnsi="Verdana" w:cs="Times New Roman"/>
          <w:lang w:eastAsia="ro-RO"/>
        </w:rPr>
        <w:t>În situaţia în care suportul fizic al Buletinului procedurilor de insolvenţă este însoţit de un suport CD ce cuprinde liste-anexe privind creditorii, reprezentări grafice, alte anexe, care, datorită volumului, nu pot fi redate în cadrul acestuia, la preţul de vânzare se va adăuga contravaloarea suportului CD.</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9" w:name="do|ar4"/>
      <w:r>
        <w:rPr>
          <w:rFonts w:ascii="Verdana" w:eastAsia="Times New Roman" w:hAnsi="Verdana" w:cs="Times New Roman"/>
          <w:b/>
          <w:bCs/>
          <w:noProof/>
          <w:color w:val="333399"/>
          <w:lang w:eastAsia="ro-RO"/>
        </w:rPr>
        <w:drawing>
          <wp:inline distT="0" distB="0" distL="0" distR="0">
            <wp:extent cx="99060" cy="99060"/>
            <wp:effectExtent l="0" t="0" r="0" b="0"/>
            <wp:docPr id="12" name="Imagine 12" descr="C:\Users\operato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operato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
      <w:r w:rsidRPr="00456B9A">
        <w:rPr>
          <w:rFonts w:ascii="Verdana" w:eastAsia="Times New Roman" w:hAnsi="Verdana" w:cs="Times New Roman"/>
          <w:b/>
          <w:bCs/>
          <w:color w:val="0000AF"/>
          <w:lang w:eastAsia="ro-RO"/>
        </w:rPr>
        <w:t>Art. 4</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10" w:name="do|ar4|pa1"/>
      <w:bookmarkEnd w:id="10"/>
      <w:r w:rsidRPr="00456B9A">
        <w:rPr>
          <w:rFonts w:ascii="Verdana" w:eastAsia="Times New Roman" w:hAnsi="Verdana" w:cs="Times New Roman"/>
          <w:lang w:eastAsia="ro-RO"/>
        </w:rPr>
        <w:t>Numerele bis ale Buletinului procedurilor de insolvenţă, pe suport fizic şi electronic, se vor furniza în afara abonamentului, cu achitarea contravalorii acestora.</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11" w:name="do|ar5"/>
      <w:r>
        <w:rPr>
          <w:rFonts w:ascii="Verdana" w:eastAsia="Times New Roman" w:hAnsi="Verdana" w:cs="Times New Roman"/>
          <w:b/>
          <w:bCs/>
          <w:noProof/>
          <w:color w:val="333399"/>
          <w:lang w:eastAsia="ro-RO"/>
        </w:rPr>
        <w:drawing>
          <wp:inline distT="0" distB="0" distL="0" distR="0">
            <wp:extent cx="99060" cy="99060"/>
            <wp:effectExtent l="0" t="0" r="0" b="0"/>
            <wp:docPr id="11" name="Imagine 11" descr="C:\Users\operato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operato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
      <w:r w:rsidRPr="00456B9A">
        <w:rPr>
          <w:rFonts w:ascii="Verdana" w:eastAsia="Times New Roman" w:hAnsi="Verdana" w:cs="Times New Roman"/>
          <w:b/>
          <w:bCs/>
          <w:color w:val="0000AF"/>
          <w:lang w:eastAsia="ro-RO"/>
        </w:rPr>
        <w:t>Art. 5</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12" w:name="do|ar5|pa1"/>
      <w:bookmarkEnd w:id="12"/>
      <w:r w:rsidRPr="00456B9A">
        <w:rPr>
          <w:rFonts w:ascii="Verdana" w:eastAsia="Times New Roman" w:hAnsi="Verdana" w:cs="Times New Roman"/>
          <w:lang w:eastAsia="ro-RO"/>
        </w:rPr>
        <w:t>Vânzarea Buletinului procedurilor de insolvenţă, pe bază de abonament, pe suport fizic şi electronic, şi individual, pe suport fizic, se realizează de Oficiul Naţional al Registrului Comerţului.</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13" w:name="do|ar6"/>
      <w:r>
        <w:rPr>
          <w:rFonts w:ascii="Verdana" w:eastAsia="Times New Roman" w:hAnsi="Verdana" w:cs="Times New Roman"/>
          <w:b/>
          <w:bCs/>
          <w:noProof/>
          <w:color w:val="333399"/>
          <w:lang w:eastAsia="ro-RO"/>
        </w:rPr>
        <w:drawing>
          <wp:inline distT="0" distB="0" distL="0" distR="0">
            <wp:extent cx="99060" cy="99060"/>
            <wp:effectExtent l="0" t="0" r="0" b="0"/>
            <wp:docPr id="10" name="Imagine 10" descr="C:\Users\operato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operato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
      <w:r w:rsidRPr="00456B9A">
        <w:rPr>
          <w:rFonts w:ascii="Verdana" w:eastAsia="Times New Roman" w:hAnsi="Verdana" w:cs="Times New Roman"/>
          <w:b/>
          <w:bCs/>
          <w:color w:val="0000AF"/>
          <w:lang w:eastAsia="ro-RO"/>
        </w:rPr>
        <w:t>Art. 6</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14" w:name="do|ar6|pa1"/>
      <w:bookmarkEnd w:id="14"/>
      <w:r w:rsidRPr="00456B9A">
        <w:rPr>
          <w:rFonts w:ascii="Verdana" w:eastAsia="Times New Roman" w:hAnsi="Verdana" w:cs="Times New Roman"/>
          <w:lang w:eastAsia="ro-RO"/>
        </w:rPr>
        <w:t>Abonamentele pe suport fizic sunt anuale, trimestriale sau lunare şi se vor realiza prin încheierea de contracte cu beneficiarii, pe bază de comandă, transmisă la Oficiul Naţional al Registrului Comerţului cu cel puţin 30 de zile lucrătoare înainte.</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15" w:name="do|ar7"/>
      <w:r>
        <w:rPr>
          <w:rFonts w:ascii="Verdana" w:eastAsia="Times New Roman" w:hAnsi="Verdana" w:cs="Times New Roman"/>
          <w:b/>
          <w:bCs/>
          <w:noProof/>
          <w:color w:val="333399"/>
          <w:lang w:eastAsia="ro-RO"/>
        </w:rPr>
        <w:drawing>
          <wp:inline distT="0" distB="0" distL="0" distR="0">
            <wp:extent cx="99060" cy="99060"/>
            <wp:effectExtent l="0" t="0" r="0" b="0"/>
            <wp:docPr id="9" name="Imagine 9" descr="C:\Users\operato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operato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
      <w:r w:rsidRPr="00456B9A">
        <w:rPr>
          <w:rFonts w:ascii="Verdana" w:eastAsia="Times New Roman" w:hAnsi="Verdana" w:cs="Times New Roman"/>
          <w:b/>
          <w:bCs/>
          <w:color w:val="0000AF"/>
          <w:lang w:eastAsia="ro-RO"/>
        </w:rPr>
        <w:t>Art. 7</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16" w:name="do|ar7|pa1"/>
      <w:bookmarkEnd w:id="16"/>
      <w:r w:rsidRPr="00456B9A">
        <w:rPr>
          <w:rFonts w:ascii="Verdana" w:eastAsia="Times New Roman" w:hAnsi="Verdana" w:cs="Times New Roman"/>
          <w:lang w:eastAsia="ro-RO"/>
        </w:rPr>
        <w:t>Abonamentele pe suport electronic sunt anuale, trimestriale sau lunare şi se vor realiza prin încheierea de contracte cu beneficiarii, pe bază de comandă, iar activarea conturilor se realizează în maximum două zile lucrătoare de la data primirii comenzii de către Oficiul Naţional al Registrului Comerţului.</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17" w:name="do|ar8"/>
      <w:r>
        <w:rPr>
          <w:rFonts w:ascii="Verdana" w:eastAsia="Times New Roman" w:hAnsi="Verdana" w:cs="Times New Roman"/>
          <w:b/>
          <w:bCs/>
          <w:noProof/>
          <w:color w:val="333399"/>
          <w:lang w:eastAsia="ro-RO"/>
        </w:rPr>
        <w:drawing>
          <wp:inline distT="0" distB="0" distL="0" distR="0">
            <wp:extent cx="99060" cy="99060"/>
            <wp:effectExtent l="0" t="0" r="0" b="0"/>
            <wp:docPr id="8" name="Imagine 8" descr="C:\Users\operato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operato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
      <w:r w:rsidRPr="00456B9A">
        <w:rPr>
          <w:rFonts w:ascii="Verdana" w:eastAsia="Times New Roman" w:hAnsi="Verdana" w:cs="Times New Roman"/>
          <w:b/>
          <w:bCs/>
          <w:color w:val="0000AF"/>
          <w:lang w:eastAsia="ro-RO"/>
        </w:rPr>
        <w:t>Art. 8</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18" w:name="do|ar8|pa1"/>
      <w:bookmarkEnd w:id="18"/>
      <w:r w:rsidRPr="00456B9A">
        <w:rPr>
          <w:rFonts w:ascii="Verdana" w:eastAsia="Times New Roman" w:hAnsi="Verdana" w:cs="Times New Roman"/>
          <w:lang w:eastAsia="ro-RO"/>
        </w:rPr>
        <w:t>Contravaloarea abonamentului se plăteşte în contul Oficiului Naţional al Registrului Comerţului, iar ordinul de plată se transmite odată cu comanda. Contractele de furnizare a Buletinului procedurilor de insolvenţă se vor încheia în maximum 10 zile lucrătoare de la data primirii comenzii de către Oficiul Naţional al Registrului Comerţului.</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19" w:name="do|ar9"/>
      <w:r>
        <w:rPr>
          <w:rFonts w:ascii="Verdana" w:eastAsia="Times New Roman" w:hAnsi="Verdana" w:cs="Times New Roman"/>
          <w:b/>
          <w:bCs/>
          <w:noProof/>
          <w:color w:val="333399"/>
          <w:lang w:eastAsia="ro-RO"/>
        </w:rPr>
        <w:drawing>
          <wp:inline distT="0" distB="0" distL="0" distR="0">
            <wp:extent cx="99060" cy="99060"/>
            <wp:effectExtent l="0" t="0" r="0" b="0"/>
            <wp:docPr id="7" name="Imagine 7" descr="C:\Users\operato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operato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
      <w:r w:rsidRPr="00456B9A">
        <w:rPr>
          <w:rFonts w:ascii="Verdana" w:eastAsia="Times New Roman" w:hAnsi="Verdana" w:cs="Times New Roman"/>
          <w:b/>
          <w:bCs/>
          <w:color w:val="0000AF"/>
          <w:lang w:eastAsia="ro-RO"/>
        </w:rPr>
        <w:t>Art. 9</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20" w:name="do|ar9|pa1"/>
      <w:bookmarkEnd w:id="20"/>
      <w:r w:rsidRPr="00456B9A">
        <w:rPr>
          <w:rFonts w:ascii="Verdana" w:eastAsia="Times New Roman" w:hAnsi="Verdana" w:cs="Times New Roman"/>
          <w:lang w:eastAsia="ro-RO"/>
        </w:rPr>
        <w:t>Pentru vânzarea Buletinului procedurilor de insolvenţă pe suport fizic, în mod individual, după epuizarea stocului disponibil, se va utiliza tariful pentru multiplicarea documentelor, stabilit prin ordin al ministrului justiţiei.</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21" w:name="do|ar10"/>
      <w:r>
        <w:rPr>
          <w:rFonts w:ascii="Verdana" w:eastAsia="Times New Roman" w:hAnsi="Verdana" w:cs="Times New Roman"/>
          <w:b/>
          <w:bCs/>
          <w:noProof/>
          <w:color w:val="333399"/>
          <w:lang w:eastAsia="ro-RO"/>
        </w:rPr>
        <w:drawing>
          <wp:inline distT="0" distB="0" distL="0" distR="0">
            <wp:extent cx="99060" cy="99060"/>
            <wp:effectExtent l="0" t="0" r="0" b="0"/>
            <wp:docPr id="6" name="Imagine 6" descr="C:\Users\operato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operato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
      <w:r w:rsidRPr="00456B9A">
        <w:rPr>
          <w:rFonts w:ascii="Verdana" w:eastAsia="Times New Roman" w:hAnsi="Verdana" w:cs="Times New Roman"/>
          <w:b/>
          <w:bCs/>
          <w:color w:val="0000AF"/>
          <w:lang w:eastAsia="ro-RO"/>
        </w:rPr>
        <w:t>Art. 10</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22" w:name="do|ar10|pa1"/>
      <w:bookmarkEnd w:id="22"/>
      <w:r w:rsidRPr="00456B9A">
        <w:rPr>
          <w:rFonts w:ascii="Verdana" w:eastAsia="Times New Roman" w:hAnsi="Verdana" w:cs="Times New Roman"/>
          <w:lang w:eastAsia="ro-RO"/>
        </w:rPr>
        <w:t xml:space="preserve">Preţul de vânzare al Buletinului procedurilor de insolvenţă, pe bază de abonament, pe suport fizic şi electronic, şi individual, pe suport fizic, se actualizează anual în funcţie de rata inflaţiei. Pentru suportul fizic, preţul de vânzare se actualizează şi ori de câte ori se majorează costul aferent tipăririi şi </w:t>
      </w:r>
      <w:r w:rsidRPr="00456B9A">
        <w:rPr>
          <w:rFonts w:ascii="Verdana" w:eastAsia="Times New Roman" w:hAnsi="Verdana" w:cs="Times New Roman"/>
          <w:lang w:eastAsia="ro-RO"/>
        </w:rPr>
        <w:lastRenderedPageBreak/>
        <w:t>difuzării, în situaţia în care acestea se realizează de terţe persoane, conform dispoziţiilor legale în materie.</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23" w:name="do|ar11"/>
      <w:r>
        <w:rPr>
          <w:rFonts w:ascii="Verdana" w:eastAsia="Times New Roman" w:hAnsi="Verdana" w:cs="Times New Roman"/>
          <w:b/>
          <w:bCs/>
          <w:noProof/>
          <w:color w:val="333399"/>
          <w:lang w:eastAsia="ro-RO"/>
        </w:rPr>
        <w:drawing>
          <wp:inline distT="0" distB="0" distL="0" distR="0">
            <wp:extent cx="99060" cy="99060"/>
            <wp:effectExtent l="0" t="0" r="0" b="0"/>
            <wp:docPr id="5" name="Imagine 5" descr="C:\Users\operato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operato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
      <w:r w:rsidRPr="00456B9A">
        <w:rPr>
          <w:rFonts w:ascii="Verdana" w:eastAsia="Times New Roman" w:hAnsi="Verdana" w:cs="Times New Roman"/>
          <w:b/>
          <w:bCs/>
          <w:color w:val="0000AF"/>
          <w:lang w:eastAsia="ro-RO"/>
        </w:rPr>
        <w:t>Art. 11</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24" w:name="do|ar11|pa1"/>
      <w:bookmarkEnd w:id="24"/>
      <w:r w:rsidRPr="00456B9A">
        <w:rPr>
          <w:rFonts w:ascii="Verdana" w:eastAsia="Times New Roman" w:hAnsi="Verdana" w:cs="Times New Roman"/>
          <w:lang w:eastAsia="ro-RO"/>
        </w:rPr>
        <w:t>Oficiul Naţional al Registrului Comerţului va elabora modelul şi conţinutul-cadru ale contractului şi ale comenzii prevăzute la art. 6 şi 7, precum şi orice alt document care se impune în activitatea de vânzare a Buletinului procedurilor de insolvenţă.</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25" w:name="do|ar12"/>
      <w:r>
        <w:rPr>
          <w:rFonts w:ascii="Verdana" w:eastAsia="Times New Roman" w:hAnsi="Verdana" w:cs="Times New Roman"/>
          <w:b/>
          <w:bCs/>
          <w:noProof/>
          <w:color w:val="333399"/>
          <w:lang w:eastAsia="ro-RO"/>
        </w:rPr>
        <w:drawing>
          <wp:inline distT="0" distB="0" distL="0" distR="0">
            <wp:extent cx="99060" cy="99060"/>
            <wp:effectExtent l="0" t="0" r="0" b="0"/>
            <wp:docPr id="4" name="Imagine 4" descr="C:\Users\operato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descr="C:\Users\operato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
      <w:r w:rsidRPr="00456B9A">
        <w:rPr>
          <w:rFonts w:ascii="Verdana" w:eastAsia="Times New Roman" w:hAnsi="Verdana" w:cs="Times New Roman"/>
          <w:b/>
          <w:bCs/>
          <w:color w:val="0000AF"/>
          <w:lang w:eastAsia="ro-RO"/>
        </w:rPr>
        <w:t>Art. 12</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26" w:name="do|ar12|pa1"/>
      <w:bookmarkEnd w:id="26"/>
      <w:r w:rsidRPr="00456B9A">
        <w:rPr>
          <w:rFonts w:ascii="Verdana" w:eastAsia="Times New Roman" w:hAnsi="Verdana" w:cs="Times New Roman"/>
          <w:lang w:eastAsia="ro-RO"/>
        </w:rPr>
        <w:t>Vânzarea Buletinului procedurilor de insolvenţă pe suport fizic, pe bază de abonament şi individual, se va realiza începând cu trimestrul II al anului 2007, până la această dată Oficiul Naţional al Registrului Comerţului putând elibera copii ale publicaţiei.</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27" w:name="do|ar13"/>
      <w:r>
        <w:rPr>
          <w:rFonts w:ascii="Verdana" w:eastAsia="Times New Roman" w:hAnsi="Verdana" w:cs="Times New Roman"/>
          <w:b/>
          <w:bCs/>
          <w:noProof/>
          <w:color w:val="333399"/>
          <w:lang w:eastAsia="ro-RO"/>
        </w:rPr>
        <w:drawing>
          <wp:inline distT="0" distB="0" distL="0" distR="0">
            <wp:extent cx="99060" cy="99060"/>
            <wp:effectExtent l="0" t="0" r="0" b="0"/>
            <wp:docPr id="3" name="Imagine 3" descr="C:\Users\operato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3|_i" descr="C:\Users\operato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
      <w:r w:rsidRPr="00456B9A">
        <w:rPr>
          <w:rFonts w:ascii="Verdana" w:eastAsia="Times New Roman" w:hAnsi="Verdana" w:cs="Times New Roman"/>
          <w:b/>
          <w:bCs/>
          <w:color w:val="0000AF"/>
          <w:lang w:eastAsia="ro-RO"/>
        </w:rPr>
        <w:t>Art. 13</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28" w:name="do|ar13|pa1"/>
      <w:bookmarkEnd w:id="28"/>
      <w:r w:rsidRPr="00456B9A">
        <w:rPr>
          <w:rFonts w:ascii="Verdana" w:eastAsia="Times New Roman" w:hAnsi="Verdana" w:cs="Times New Roman"/>
          <w:lang w:eastAsia="ro-RO"/>
        </w:rPr>
        <w:t>Anexele nr. 1 şi 2 fac parte integrantă din prezenta hotărâre.</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29" w:name="do|pa3"/>
      <w:bookmarkEnd w:id="29"/>
      <w:r w:rsidRPr="00456B9A">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456B9A" w:rsidRPr="00456B9A" w:rsidTr="00456B9A">
        <w:trPr>
          <w:trHeight w:val="12"/>
          <w:tblCellSpacing w:w="0" w:type="dxa"/>
          <w:jc w:val="center"/>
        </w:trPr>
        <w:tc>
          <w:tcPr>
            <w:tcW w:w="0" w:type="auto"/>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bookmarkStart w:id="30" w:name="do|pa4"/>
            <w:bookmarkEnd w:id="30"/>
            <w:r w:rsidRPr="00456B9A">
              <w:rPr>
                <w:rFonts w:ascii="Verdana" w:eastAsia="Times New Roman" w:hAnsi="Verdana" w:cs="Times New Roman"/>
                <w:color w:val="000000"/>
                <w:sz w:val="16"/>
                <w:szCs w:val="16"/>
                <w:lang w:eastAsia="ro-RO"/>
              </w:rPr>
              <w:t>PRIM-MINISTRU</w:t>
            </w:r>
          </w:p>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b/>
                <w:bCs/>
                <w:color w:val="000000"/>
                <w:sz w:val="16"/>
                <w:szCs w:val="16"/>
                <w:lang w:eastAsia="ro-RO"/>
              </w:rPr>
              <w:t>CĂLIN POPESCU-TĂRICEANU</w:t>
            </w:r>
          </w:p>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Contrasemnează:</w:t>
            </w:r>
          </w:p>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Ministrul justiţiei,</w:t>
            </w:r>
          </w:p>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b/>
                <w:bCs/>
                <w:color w:val="000000"/>
                <w:sz w:val="16"/>
                <w:szCs w:val="16"/>
                <w:lang w:eastAsia="ro-RO"/>
              </w:rPr>
              <w:t>Monica Luisa Macovei</w:t>
            </w:r>
          </w:p>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p. Ministrul finanţelor publice,</w:t>
            </w:r>
          </w:p>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b/>
                <w:bCs/>
                <w:color w:val="000000"/>
                <w:sz w:val="16"/>
                <w:szCs w:val="16"/>
                <w:lang w:eastAsia="ro-RO"/>
              </w:rPr>
              <w:t>Doina-Elena Dascălu,</w:t>
            </w:r>
          </w:p>
          <w:p w:rsidR="00456B9A" w:rsidRPr="00456B9A" w:rsidRDefault="00456B9A" w:rsidP="00456B9A">
            <w:pPr>
              <w:spacing w:after="0" w:line="12" w:lineRule="atLeast"/>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secretar de stat</w:t>
            </w:r>
          </w:p>
        </w:tc>
      </w:tr>
    </w:tbl>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31" w:name="do|ax1"/>
      <w:r>
        <w:rPr>
          <w:rFonts w:ascii="Verdana" w:eastAsia="Times New Roman" w:hAnsi="Verdana" w:cs="Times New Roman"/>
          <w:b/>
          <w:bCs/>
          <w:noProof/>
          <w:color w:val="333399"/>
          <w:lang w:eastAsia="ro-RO"/>
        </w:rPr>
        <w:drawing>
          <wp:inline distT="0" distB="0" distL="0" distR="0">
            <wp:extent cx="99060" cy="99060"/>
            <wp:effectExtent l="0" t="0" r="0" b="0"/>
            <wp:docPr id="2" name="Imagine 2" descr="C:\Users\operato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operato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
      <w:r w:rsidRPr="00456B9A">
        <w:rPr>
          <w:rFonts w:ascii="Verdana" w:eastAsia="Times New Roman" w:hAnsi="Verdana" w:cs="Times New Roman"/>
          <w:b/>
          <w:bCs/>
          <w:sz w:val="26"/>
          <w:szCs w:val="26"/>
          <w:lang w:eastAsia="ro-RO"/>
        </w:rPr>
        <w:t>ANEXA nr. 1:</w:t>
      </w:r>
      <w:r w:rsidRPr="00456B9A">
        <w:rPr>
          <w:rFonts w:ascii="Verdana" w:eastAsia="Times New Roman" w:hAnsi="Verdana" w:cs="Times New Roman"/>
          <w:lang w:eastAsia="ro-RO"/>
        </w:rPr>
        <w:t xml:space="preserve"> </w:t>
      </w:r>
      <w:r w:rsidRPr="00456B9A">
        <w:rPr>
          <w:rFonts w:ascii="Verdana" w:eastAsia="Times New Roman" w:hAnsi="Verdana" w:cs="Times New Roman"/>
          <w:b/>
          <w:bCs/>
          <w:sz w:val="26"/>
          <w:szCs w:val="26"/>
          <w:lang w:eastAsia="ro-RO"/>
        </w:rPr>
        <w:t>PREŢUL DE VÂNZARE al Buletinului procedurilor de insolvenţă individual si pe bază de abonament, pe suport fizic</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2"/>
        <w:gridCol w:w="1645"/>
        <w:gridCol w:w="1645"/>
        <w:gridCol w:w="1645"/>
        <w:gridCol w:w="1548"/>
      </w:tblGrid>
      <w:tr w:rsidR="00456B9A" w:rsidRPr="00456B9A" w:rsidTr="00456B9A">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bookmarkStart w:id="32" w:name="do|ax1|pa1"/>
            <w:bookmarkEnd w:id="32"/>
            <w:r w:rsidRPr="00456B9A">
              <w:rPr>
                <w:rFonts w:ascii="Verdana" w:eastAsia="Times New Roman" w:hAnsi="Verdana" w:cs="Times New Roman"/>
                <w:color w:val="000000"/>
                <w:sz w:val="16"/>
                <w:szCs w:val="16"/>
                <w:lang w:eastAsia="ro-RO"/>
              </w:rPr>
              <w:t>Denumirea publicaţiei</w:t>
            </w:r>
          </w:p>
        </w:tc>
        <w:tc>
          <w:tcPr>
            <w:tcW w:w="850" w:type="pct"/>
            <w:tcBorders>
              <w:top w:val="outset" w:sz="6" w:space="0" w:color="auto"/>
              <w:left w:val="outset" w:sz="6" w:space="0" w:color="auto"/>
              <w:bottom w:val="outset" w:sz="6" w:space="0" w:color="auto"/>
              <w:right w:val="outset" w:sz="6" w:space="0" w:color="auto"/>
            </w:tcBorders>
            <w:vAlign w:val="center"/>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Preţul abonamentului anual</w:t>
            </w:r>
            <w:r w:rsidRPr="00456B9A">
              <w:rPr>
                <w:rFonts w:ascii="Verdana" w:eastAsia="Times New Roman" w:hAnsi="Verdana" w:cs="Times New Roman"/>
                <w:color w:val="000000"/>
                <w:sz w:val="16"/>
                <w:szCs w:val="16"/>
                <w:vertAlign w:val="superscript"/>
                <w:lang w:eastAsia="ro-RO"/>
              </w:rPr>
              <w:t>*)</w:t>
            </w:r>
          </w:p>
        </w:tc>
        <w:tc>
          <w:tcPr>
            <w:tcW w:w="850" w:type="pct"/>
            <w:tcBorders>
              <w:top w:val="outset" w:sz="6" w:space="0" w:color="auto"/>
              <w:left w:val="outset" w:sz="6" w:space="0" w:color="auto"/>
              <w:bottom w:val="outset" w:sz="6" w:space="0" w:color="auto"/>
              <w:right w:val="outset" w:sz="6" w:space="0" w:color="auto"/>
            </w:tcBorders>
            <w:vAlign w:val="center"/>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Preţul abonamentului trimestrial</w:t>
            </w:r>
            <w:r w:rsidRPr="00456B9A">
              <w:rPr>
                <w:rFonts w:ascii="Verdana" w:eastAsia="Times New Roman" w:hAnsi="Verdana" w:cs="Times New Roman"/>
                <w:color w:val="000000"/>
                <w:sz w:val="16"/>
                <w:szCs w:val="16"/>
                <w:vertAlign w:val="superscript"/>
                <w:lang w:eastAsia="ro-RO"/>
              </w:rPr>
              <w:t>**)</w:t>
            </w:r>
          </w:p>
        </w:tc>
        <w:tc>
          <w:tcPr>
            <w:tcW w:w="850" w:type="pct"/>
            <w:tcBorders>
              <w:top w:val="outset" w:sz="6" w:space="0" w:color="auto"/>
              <w:left w:val="outset" w:sz="6" w:space="0" w:color="auto"/>
              <w:bottom w:val="outset" w:sz="6" w:space="0" w:color="auto"/>
              <w:right w:val="outset" w:sz="6" w:space="0" w:color="auto"/>
            </w:tcBorders>
            <w:vAlign w:val="center"/>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Preţul abonamentului lunar</w:t>
            </w:r>
            <w:r w:rsidRPr="00456B9A">
              <w:rPr>
                <w:rFonts w:ascii="Verdana" w:eastAsia="Times New Roman" w:hAnsi="Verdana" w:cs="Times New Roman"/>
                <w:color w:val="000000"/>
                <w:sz w:val="16"/>
                <w:szCs w:val="16"/>
                <w:vertAlign w:val="superscript"/>
                <w:lang w:eastAsia="ro-RO"/>
              </w:rPr>
              <w:t>***)</w:t>
            </w:r>
          </w:p>
        </w:tc>
        <w:tc>
          <w:tcPr>
            <w:tcW w:w="850" w:type="pct"/>
            <w:tcBorders>
              <w:top w:val="outset" w:sz="6" w:space="0" w:color="auto"/>
              <w:left w:val="outset" w:sz="6" w:space="0" w:color="auto"/>
              <w:bottom w:val="outset" w:sz="6" w:space="0" w:color="auto"/>
              <w:right w:val="outset" w:sz="6" w:space="0" w:color="auto"/>
            </w:tcBorders>
            <w:vAlign w:val="center"/>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Preţul individual</w:t>
            </w:r>
          </w:p>
        </w:tc>
      </w:tr>
      <w:tr w:rsidR="00456B9A" w:rsidRPr="00456B9A" w:rsidTr="00456B9A">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Buletinul procedurilor de insolvenţă</w:t>
            </w:r>
          </w:p>
        </w:tc>
        <w:tc>
          <w:tcPr>
            <w:tcW w:w="850" w:type="pct"/>
            <w:tcBorders>
              <w:top w:val="outset" w:sz="6" w:space="0" w:color="auto"/>
              <w:left w:val="outset" w:sz="6" w:space="0" w:color="auto"/>
              <w:bottom w:val="outset" w:sz="6" w:space="0" w:color="auto"/>
              <w:right w:val="outset" w:sz="6" w:space="0" w:color="auto"/>
            </w:tcBorders>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2.550,65 lei</w:t>
            </w:r>
          </w:p>
        </w:tc>
        <w:tc>
          <w:tcPr>
            <w:tcW w:w="850" w:type="pct"/>
            <w:tcBorders>
              <w:top w:val="outset" w:sz="6" w:space="0" w:color="auto"/>
              <w:left w:val="outset" w:sz="6" w:space="0" w:color="auto"/>
              <w:bottom w:val="outset" w:sz="6" w:space="0" w:color="auto"/>
              <w:right w:val="outset" w:sz="6" w:space="0" w:color="auto"/>
            </w:tcBorders>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637,66 lei</w:t>
            </w:r>
          </w:p>
        </w:tc>
        <w:tc>
          <w:tcPr>
            <w:tcW w:w="850" w:type="pct"/>
            <w:tcBorders>
              <w:top w:val="outset" w:sz="6" w:space="0" w:color="auto"/>
              <w:left w:val="outset" w:sz="6" w:space="0" w:color="auto"/>
              <w:bottom w:val="outset" w:sz="6" w:space="0" w:color="auto"/>
              <w:right w:val="outset" w:sz="6" w:space="0" w:color="auto"/>
            </w:tcBorders>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212,55 lei</w:t>
            </w:r>
          </w:p>
        </w:tc>
        <w:tc>
          <w:tcPr>
            <w:tcW w:w="850" w:type="pct"/>
            <w:tcBorders>
              <w:top w:val="outset" w:sz="6" w:space="0" w:color="auto"/>
              <w:left w:val="outset" w:sz="6" w:space="0" w:color="auto"/>
              <w:bottom w:val="outset" w:sz="6" w:space="0" w:color="auto"/>
              <w:right w:val="outset" w:sz="6" w:space="0" w:color="auto"/>
            </w:tcBorders>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1,20 lei</w:t>
            </w:r>
          </w:p>
        </w:tc>
      </w:tr>
    </w:tbl>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33" w:name="do|ax1|pa2"/>
      <w:bookmarkEnd w:id="33"/>
      <w:r w:rsidRPr="00456B9A">
        <w:rPr>
          <w:rFonts w:ascii="Verdana" w:eastAsia="Times New Roman" w:hAnsi="Verdana" w:cs="Times New Roman"/>
          <w:vertAlign w:val="superscript"/>
          <w:lang w:eastAsia="ro-RO"/>
        </w:rPr>
        <w:t>*)</w:t>
      </w:r>
      <w:r w:rsidRPr="00456B9A">
        <w:rPr>
          <w:rFonts w:ascii="Verdana" w:eastAsia="Times New Roman" w:hAnsi="Verdana" w:cs="Times New Roman"/>
          <w:lang w:eastAsia="ro-RO"/>
        </w:rPr>
        <w:t xml:space="preserve"> Pentru abonamentele anuale, comanda se va transmite la Oficiul Naţional al Registrului Comerţului cu cel puţin 30 de zile lucrătoare înainte de data de 1 ianuarie a anului pentru care se face abonamentul.</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34" w:name="do|ax1|pa3"/>
      <w:bookmarkEnd w:id="34"/>
      <w:r w:rsidRPr="00456B9A">
        <w:rPr>
          <w:rFonts w:ascii="Verdana" w:eastAsia="Times New Roman" w:hAnsi="Verdana" w:cs="Times New Roman"/>
          <w:vertAlign w:val="superscript"/>
          <w:lang w:eastAsia="ro-RO"/>
        </w:rPr>
        <w:t>**)</w:t>
      </w:r>
      <w:r w:rsidRPr="00456B9A">
        <w:rPr>
          <w:rFonts w:ascii="Verdana" w:eastAsia="Times New Roman" w:hAnsi="Verdana" w:cs="Times New Roman"/>
          <w:lang w:eastAsia="ro-RO"/>
        </w:rPr>
        <w:t xml:space="preserve"> Pentru abonamentele trimestriale, comanda se va transmite la Oficiul Naţional al Registrului Comerţului cu cel puţin 30 de zile lucrătoare înainte de data de 1 ianuarie, 1 aprilie, 1 iulie, 1 octombrie a anului în care se face abonamentul, după caz.</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35" w:name="do|ax1|pa4"/>
      <w:bookmarkEnd w:id="35"/>
      <w:r w:rsidRPr="00456B9A">
        <w:rPr>
          <w:rFonts w:ascii="Verdana" w:eastAsia="Times New Roman" w:hAnsi="Verdana" w:cs="Times New Roman"/>
          <w:vertAlign w:val="superscript"/>
          <w:lang w:eastAsia="ro-RO"/>
        </w:rPr>
        <w:t>***)</w:t>
      </w:r>
      <w:r w:rsidRPr="00456B9A">
        <w:rPr>
          <w:rFonts w:ascii="Verdana" w:eastAsia="Times New Roman" w:hAnsi="Verdana" w:cs="Times New Roman"/>
          <w:lang w:eastAsia="ro-RO"/>
        </w:rPr>
        <w:t xml:space="preserve"> Pentru abonamentele lunare, comanda se va transmite la Oficiul Naţional al Registrului Comerţului cu cel puţin 30 de zile lucrătoare înainte de data de întâi a lunii pentru care se face abonamentul.</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36" w:name="do|ax2"/>
      <w:r>
        <w:rPr>
          <w:rFonts w:ascii="Verdana" w:eastAsia="Times New Roman" w:hAnsi="Verdana" w:cs="Times New Roman"/>
          <w:b/>
          <w:bCs/>
          <w:noProof/>
          <w:color w:val="333399"/>
          <w:lang w:eastAsia="ro-RO"/>
        </w:rPr>
        <w:drawing>
          <wp:inline distT="0" distB="0" distL="0" distR="0">
            <wp:extent cx="99060" cy="99060"/>
            <wp:effectExtent l="0" t="0" r="0" b="0"/>
            <wp:docPr id="1" name="Imagine 1" descr="C:\Users\operato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operato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6"/>
      <w:r w:rsidRPr="00456B9A">
        <w:rPr>
          <w:rFonts w:ascii="Verdana" w:eastAsia="Times New Roman" w:hAnsi="Verdana" w:cs="Times New Roman"/>
          <w:b/>
          <w:bCs/>
          <w:sz w:val="26"/>
          <w:szCs w:val="26"/>
          <w:lang w:eastAsia="ro-RO"/>
        </w:rPr>
        <w:t>ANEXA nr. 2:</w:t>
      </w:r>
      <w:r w:rsidRPr="00456B9A">
        <w:rPr>
          <w:rFonts w:ascii="Verdana" w:eastAsia="Times New Roman" w:hAnsi="Verdana" w:cs="Times New Roman"/>
          <w:lang w:eastAsia="ro-RO"/>
        </w:rPr>
        <w:t xml:space="preserve"> </w:t>
      </w:r>
      <w:r w:rsidRPr="00456B9A">
        <w:rPr>
          <w:rFonts w:ascii="Verdana" w:eastAsia="Times New Roman" w:hAnsi="Verdana" w:cs="Times New Roman"/>
          <w:b/>
          <w:bCs/>
          <w:sz w:val="26"/>
          <w:szCs w:val="26"/>
          <w:lang w:eastAsia="ro-RO"/>
        </w:rPr>
        <w:t>PREŢUL DE VÂNZARE al Buletinului procedurilor de insolvenţă, pe bază de abonament, pe suport electronic</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935"/>
        <w:gridCol w:w="1935"/>
        <w:gridCol w:w="1935"/>
      </w:tblGrid>
      <w:tr w:rsidR="00456B9A" w:rsidRPr="00456B9A" w:rsidTr="00456B9A">
        <w:trPr>
          <w:tblCellSpacing w:w="0"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bookmarkStart w:id="37" w:name="do|ax2|pa1"/>
            <w:bookmarkEnd w:id="37"/>
            <w:r w:rsidRPr="00456B9A">
              <w:rPr>
                <w:rFonts w:ascii="Verdana" w:eastAsia="Times New Roman" w:hAnsi="Verdana" w:cs="Times New Roman"/>
                <w:color w:val="000000"/>
                <w:sz w:val="16"/>
                <w:szCs w:val="16"/>
                <w:lang w:eastAsia="ro-RO"/>
              </w:rPr>
              <w:t>Denumirea publicaţiei</w:t>
            </w:r>
          </w:p>
        </w:tc>
        <w:tc>
          <w:tcPr>
            <w:tcW w:w="1000" w:type="pct"/>
            <w:tcBorders>
              <w:top w:val="outset" w:sz="6" w:space="0" w:color="auto"/>
              <w:left w:val="outset" w:sz="6" w:space="0" w:color="auto"/>
              <w:bottom w:val="outset" w:sz="6" w:space="0" w:color="auto"/>
              <w:right w:val="outset" w:sz="6" w:space="0" w:color="auto"/>
            </w:tcBorders>
            <w:vAlign w:val="center"/>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Preţul abonamentului anual</w:t>
            </w:r>
          </w:p>
        </w:tc>
        <w:tc>
          <w:tcPr>
            <w:tcW w:w="1000" w:type="pct"/>
            <w:tcBorders>
              <w:top w:val="outset" w:sz="6" w:space="0" w:color="auto"/>
              <w:left w:val="outset" w:sz="6" w:space="0" w:color="auto"/>
              <w:bottom w:val="outset" w:sz="6" w:space="0" w:color="auto"/>
              <w:right w:val="outset" w:sz="6" w:space="0" w:color="auto"/>
            </w:tcBorders>
            <w:vAlign w:val="center"/>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Preţul abonamentului trimestrial</w:t>
            </w:r>
          </w:p>
        </w:tc>
        <w:tc>
          <w:tcPr>
            <w:tcW w:w="1000" w:type="pct"/>
            <w:tcBorders>
              <w:top w:val="outset" w:sz="6" w:space="0" w:color="auto"/>
              <w:left w:val="outset" w:sz="6" w:space="0" w:color="auto"/>
              <w:bottom w:val="outset" w:sz="6" w:space="0" w:color="auto"/>
              <w:right w:val="outset" w:sz="6" w:space="0" w:color="auto"/>
            </w:tcBorders>
            <w:vAlign w:val="center"/>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Preţul abonamentului lunar</w:t>
            </w:r>
          </w:p>
        </w:tc>
      </w:tr>
      <w:tr w:rsidR="00456B9A" w:rsidRPr="00456B9A" w:rsidTr="00456B9A">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Buletinul procedurilor de insolvenţă</w:t>
            </w:r>
          </w:p>
        </w:tc>
        <w:tc>
          <w:tcPr>
            <w:tcW w:w="1000" w:type="pct"/>
            <w:tcBorders>
              <w:top w:val="outset" w:sz="6" w:space="0" w:color="auto"/>
              <w:left w:val="outset" w:sz="6" w:space="0" w:color="auto"/>
              <w:bottom w:val="outset" w:sz="6" w:space="0" w:color="auto"/>
              <w:right w:val="outset" w:sz="6" w:space="0" w:color="auto"/>
            </w:tcBorders>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949,95 lei</w:t>
            </w:r>
          </w:p>
        </w:tc>
        <w:tc>
          <w:tcPr>
            <w:tcW w:w="1000" w:type="pct"/>
            <w:tcBorders>
              <w:top w:val="outset" w:sz="6" w:space="0" w:color="auto"/>
              <w:left w:val="outset" w:sz="6" w:space="0" w:color="auto"/>
              <w:bottom w:val="outset" w:sz="6" w:space="0" w:color="auto"/>
              <w:right w:val="outset" w:sz="6" w:space="0" w:color="auto"/>
            </w:tcBorders>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237,49 lei</w:t>
            </w:r>
          </w:p>
        </w:tc>
        <w:tc>
          <w:tcPr>
            <w:tcW w:w="1000" w:type="pct"/>
            <w:tcBorders>
              <w:top w:val="outset" w:sz="6" w:space="0" w:color="auto"/>
              <w:left w:val="outset" w:sz="6" w:space="0" w:color="auto"/>
              <w:bottom w:val="outset" w:sz="6" w:space="0" w:color="auto"/>
              <w:right w:val="outset" w:sz="6" w:space="0" w:color="auto"/>
            </w:tcBorders>
            <w:hideMark/>
          </w:tcPr>
          <w:p w:rsidR="00456B9A" w:rsidRPr="00456B9A" w:rsidRDefault="00456B9A" w:rsidP="00456B9A">
            <w:pPr>
              <w:spacing w:after="0" w:line="240" w:lineRule="auto"/>
              <w:jc w:val="center"/>
              <w:rPr>
                <w:rFonts w:ascii="Verdana" w:eastAsia="Times New Roman" w:hAnsi="Verdana" w:cs="Times New Roman"/>
                <w:color w:val="000000"/>
                <w:sz w:val="16"/>
                <w:szCs w:val="16"/>
                <w:lang w:eastAsia="ro-RO"/>
              </w:rPr>
            </w:pPr>
            <w:r w:rsidRPr="00456B9A">
              <w:rPr>
                <w:rFonts w:ascii="Verdana" w:eastAsia="Times New Roman" w:hAnsi="Verdana" w:cs="Times New Roman"/>
                <w:color w:val="000000"/>
                <w:sz w:val="16"/>
                <w:szCs w:val="16"/>
                <w:lang w:eastAsia="ro-RO"/>
              </w:rPr>
              <w:t>79,16 lei</w:t>
            </w:r>
          </w:p>
        </w:tc>
      </w:tr>
    </w:tbl>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38" w:name="do|ax2|pa2"/>
      <w:bookmarkEnd w:id="38"/>
      <w:r w:rsidRPr="00456B9A">
        <w:rPr>
          <w:rFonts w:ascii="Verdana" w:eastAsia="Times New Roman" w:hAnsi="Verdana" w:cs="Times New Roman"/>
          <w:lang w:eastAsia="ro-RO"/>
        </w:rPr>
        <w:t>NOTĂ:</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39" w:name="do|ax2|pa3"/>
      <w:bookmarkEnd w:id="39"/>
      <w:r w:rsidRPr="00456B9A">
        <w:rPr>
          <w:rFonts w:ascii="Verdana" w:eastAsia="Times New Roman" w:hAnsi="Verdana" w:cs="Times New Roman"/>
          <w:lang w:eastAsia="ro-RO"/>
        </w:rPr>
        <w:t>Pentru abonamentele anuale, trimestriale şi lunare, comanda se va transmite la Oficiul Naţional al Registrului Comerţului, iar activarea contului se va realiza în maximum două zile lucrătoare de la primirea acesteia.</w:t>
      </w:r>
    </w:p>
    <w:p w:rsidR="00456B9A" w:rsidRPr="00456B9A" w:rsidRDefault="00456B9A" w:rsidP="00456B9A">
      <w:pPr>
        <w:shd w:val="clear" w:color="auto" w:fill="FFFFFF"/>
        <w:spacing w:after="0" w:line="240" w:lineRule="auto"/>
        <w:jc w:val="both"/>
        <w:rPr>
          <w:rFonts w:ascii="Verdana" w:eastAsia="Times New Roman" w:hAnsi="Verdana" w:cs="Times New Roman"/>
          <w:lang w:eastAsia="ro-RO"/>
        </w:rPr>
      </w:pPr>
      <w:bookmarkStart w:id="40" w:name="do|pa5"/>
      <w:bookmarkEnd w:id="40"/>
      <w:r w:rsidRPr="00456B9A">
        <w:rPr>
          <w:rFonts w:ascii="Verdana" w:eastAsia="Times New Roman" w:hAnsi="Verdana" w:cs="Times New Roman"/>
          <w:lang w:eastAsia="ro-RO"/>
        </w:rPr>
        <w:t>Publicat în Monitorul Oficial cu numărul 107 din data de 13 februarie 2007</w:t>
      </w:r>
    </w:p>
    <w:p w:rsidR="0001173F" w:rsidRDefault="0001173F" w:rsidP="00456B9A">
      <w:pPr>
        <w:shd w:val="clear" w:color="auto" w:fill="FFFFFF"/>
        <w:spacing w:after="0" w:line="240" w:lineRule="auto"/>
        <w:jc w:val="both"/>
      </w:pPr>
      <w:bookmarkStart w:id="41" w:name="_GoBack"/>
      <w:bookmarkEnd w:id="41"/>
    </w:p>
    <w:sectPr w:rsidR="00011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82"/>
    <w:rsid w:val="0001173F"/>
    <w:rsid w:val="00456B9A"/>
    <w:rsid w:val="0086429E"/>
    <w:rsid w:val="008A6F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456B9A"/>
    <w:rPr>
      <w:b/>
      <w:bCs/>
      <w:color w:val="333399"/>
      <w:u w:val="single"/>
    </w:rPr>
  </w:style>
  <w:style w:type="character" w:customStyle="1" w:styleId="do1">
    <w:name w:val="do1"/>
    <w:basedOn w:val="Fontdeparagrafimplicit"/>
    <w:rsid w:val="00456B9A"/>
    <w:rPr>
      <w:b/>
      <w:bCs/>
      <w:sz w:val="26"/>
      <w:szCs w:val="26"/>
    </w:rPr>
  </w:style>
  <w:style w:type="character" w:customStyle="1" w:styleId="tpa1">
    <w:name w:val="tpa1"/>
    <w:basedOn w:val="Fontdeparagrafimplicit"/>
    <w:rsid w:val="00456B9A"/>
  </w:style>
  <w:style w:type="character" w:customStyle="1" w:styleId="ar1">
    <w:name w:val="ar1"/>
    <w:basedOn w:val="Fontdeparagrafimplicit"/>
    <w:rsid w:val="00456B9A"/>
    <w:rPr>
      <w:b/>
      <w:bCs/>
      <w:color w:val="0000AF"/>
      <w:sz w:val="22"/>
      <w:szCs w:val="22"/>
    </w:rPr>
  </w:style>
  <w:style w:type="character" w:customStyle="1" w:styleId="ax1">
    <w:name w:val="ax1"/>
    <w:basedOn w:val="Fontdeparagrafimplicit"/>
    <w:rsid w:val="00456B9A"/>
    <w:rPr>
      <w:b/>
      <w:bCs/>
      <w:sz w:val="26"/>
      <w:szCs w:val="26"/>
    </w:rPr>
  </w:style>
  <w:style w:type="character" w:customStyle="1" w:styleId="tax1">
    <w:name w:val="tax1"/>
    <w:basedOn w:val="Fontdeparagrafimplicit"/>
    <w:rsid w:val="00456B9A"/>
    <w:rPr>
      <w:b/>
      <w:bCs/>
      <w:sz w:val="26"/>
      <w:szCs w:val="26"/>
    </w:rPr>
  </w:style>
  <w:style w:type="paragraph" w:styleId="TextnBalon">
    <w:name w:val="Balloon Text"/>
    <w:basedOn w:val="Normal"/>
    <w:link w:val="TextnBalonCaracter"/>
    <w:uiPriority w:val="99"/>
    <w:semiHidden/>
    <w:unhideWhenUsed/>
    <w:rsid w:val="00456B9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56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456B9A"/>
    <w:rPr>
      <w:b/>
      <w:bCs/>
      <w:color w:val="333399"/>
      <w:u w:val="single"/>
    </w:rPr>
  </w:style>
  <w:style w:type="character" w:customStyle="1" w:styleId="do1">
    <w:name w:val="do1"/>
    <w:basedOn w:val="Fontdeparagrafimplicit"/>
    <w:rsid w:val="00456B9A"/>
    <w:rPr>
      <w:b/>
      <w:bCs/>
      <w:sz w:val="26"/>
      <w:szCs w:val="26"/>
    </w:rPr>
  </w:style>
  <w:style w:type="character" w:customStyle="1" w:styleId="tpa1">
    <w:name w:val="tpa1"/>
    <w:basedOn w:val="Fontdeparagrafimplicit"/>
    <w:rsid w:val="00456B9A"/>
  </w:style>
  <w:style w:type="character" w:customStyle="1" w:styleId="ar1">
    <w:name w:val="ar1"/>
    <w:basedOn w:val="Fontdeparagrafimplicit"/>
    <w:rsid w:val="00456B9A"/>
    <w:rPr>
      <w:b/>
      <w:bCs/>
      <w:color w:val="0000AF"/>
      <w:sz w:val="22"/>
      <w:szCs w:val="22"/>
    </w:rPr>
  </w:style>
  <w:style w:type="character" w:customStyle="1" w:styleId="ax1">
    <w:name w:val="ax1"/>
    <w:basedOn w:val="Fontdeparagrafimplicit"/>
    <w:rsid w:val="00456B9A"/>
    <w:rPr>
      <w:b/>
      <w:bCs/>
      <w:sz w:val="26"/>
      <w:szCs w:val="26"/>
    </w:rPr>
  </w:style>
  <w:style w:type="character" w:customStyle="1" w:styleId="tax1">
    <w:name w:val="tax1"/>
    <w:basedOn w:val="Fontdeparagrafimplicit"/>
    <w:rsid w:val="00456B9A"/>
    <w:rPr>
      <w:b/>
      <w:bCs/>
      <w:sz w:val="26"/>
      <w:szCs w:val="26"/>
    </w:rPr>
  </w:style>
  <w:style w:type="paragraph" w:styleId="TextnBalon">
    <w:name w:val="Balloon Text"/>
    <w:basedOn w:val="Normal"/>
    <w:link w:val="TextnBalonCaracter"/>
    <w:uiPriority w:val="99"/>
    <w:semiHidden/>
    <w:unhideWhenUsed/>
    <w:rsid w:val="00456B9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56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1883">
      <w:bodyDiv w:val="1"/>
      <w:marLeft w:val="0"/>
      <w:marRight w:val="0"/>
      <w:marTop w:val="0"/>
      <w:marBottom w:val="0"/>
      <w:divBdr>
        <w:top w:val="none" w:sz="0" w:space="0" w:color="auto"/>
        <w:left w:val="none" w:sz="0" w:space="0" w:color="auto"/>
        <w:bottom w:val="none" w:sz="0" w:space="0" w:color="auto"/>
        <w:right w:val="none" w:sz="0" w:space="0" w:color="auto"/>
      </w:divBdr>
      <w:divsChild>
        <w:div w:id="795878079">
          <w:marLeft w:val="0"/>
          <w:marRight w:val="0"/>
          <w:marTop w:val="0"/>
          <w:marBottom w:val="0"/>
          <w:divBdr>
            <w:top w:val="none" w:sz="0" w:space="0" w:color="auto"/>
            <w:left w:val="none" w:sz="0" w:space="0" w:color="auto"/>
            <w:bottom w:val="none" w:sz="0" w:space="0" w:color="auto"/>
            <w:right w:val="none" w:sz="0" w:space="0" w:color="auto"/>
          </w:divBdr>
          <w:divsChild>
            <w:div w:id="59406299">
              <w:marLeft w:val="0"/>
              <w:marRight w:val="0"/>
              <w:marTop w:val="0"/>
              <w:marBottom w:val="0"/>
              <w:divBdr>
                <w:top w:val="dashed" w:sz="2" w:space="0" w:color="FFFFFF"/>
                <w:left w:val="dashed" w:sz="2" w:space="0" w:color="FFFFFF"/>
                <w:bottom w:val="dashed" w:sz="2" w:space="0" w:color="FFFFFF"/>
                <w:right w:val="dashed" w:sz="2" w:space="0" w:color="FFFFFF"/>
              </w:divBdr>
            </w:div>
            <w:div w:id="2140799214">
              <w:marLeft w:val="0"/>
              <w:marRight w:val="0"/>
              <w:marTop w:val="0"/>
              <w:marBottom w:val="0"/>
              <w:divBdr>
                <w:top w:val="dashed" w:sz="2" w:space="0" w:color="FFFFFF"/>
                <w:left w:val="dashed" w:sz="2" w:space="0" w:color="FFFFFF"/>
                <w:bottom w:val="dashed" w:sz="2" w:space="0" w:color="FFFFFF"/>
                <w:right w:val="dashed" w:sz="2" w:space="0" w:color="FFFFFF"/>
              </w:divBdr>
              <w:divsChild>
                <w:div w:id="1090349311">
                  <w:marLeft w:val="0"/>
                  <w:marRight w:val="0"/>
                  <w:marTop w:val="0"/>
                  <w:marBottom w:val="0"/>
                  <w:divBdr>
                    <w:top w:val="dashed" w:sz="2" w:space="0" w:color="FFFFFF"/>
                    <w:left w:val="dashed" w:sz="2" w:space="0" w:color="FFFFFF"/>
                    <w:bottom w:val="dashed" w:sz="2" w:space="0" w:color="FFFFFF"/>
                    <w:right w:val="dashed" w:sz="2" w:space="0" w:color="FFFFFF"/>
                  </w:divBdr>
                </w:div>
                <w:div w:id="318703144">
                  <w:marLeft w:val="0"/>
                  <w:marRight w:val="0"/>
                  <w:marTop w:val="0"/>
                  <w:marBottom w:val="0"/>
                  <w:divBdr>
                    <w:top w:val="dashed" w:sz="2" w:space="0" w:color="FFFFFF"/>
                    <w:left w:val="dashed" w:sz="2" w:space="0" w:color="FFFFFF"/>
                    <w:bottom w:val="dashed" w:sz="2" w:space="0" w:color="FFFFFF"/>
                    <w:right w:val="dashed" w:sz="2" w:space="0" w:color="FFFFFF"/>
                  </w:divBdr>
                </w:div>
                <w:div w:id="851604837">
                  <w:marLeft w:val="0"/>
                  <w:marRight w:val="0"/>
                  <w:marTop w:val="0"/>
                  <w:marBottom w:val="0"/>
                  <w:divBdr>
                    <w:top w:val="dashed" w:sz="2" w:space="0" w:color="FFFFFF"/>
                    <w:left w:val="dashed" w:sz="2" w:space="0" w:color="FFFFFF"/>
                    <w:bottom w:val="dashed" w:sz="2" w:space="0" w:color="FFFFFF"/>
                    <w:right w:val="dashed" w:sz="2" w:space="0" w:color="FFFFFF"/>
                  </w:divBdr>
                </w:div>
                <w:div w:id="1260798399">
                  <w:marLeft w:val="0"/>
                  <w:marRight w:val="0"/>
                  <w:marTop w:val="0"/>
                  <w:marBottom w:val="0"/>
                  <w:divBdr>
                    <w:top w:val="dashed" w:sz="2" w:space="0" w:color="FFFFFF"/>
                    <w:left w:val="dashed" w:sz="2" w:space="0" w:color="FFFFFF"/>
                    <w:bottom w:val="dashed" w:sz="2" w:space="0" w:color="FFFFFF"/>
                    <w:right w:val="dashed" w:sz="2" w:space="0" w:color="FFFFFF"/>
                  </w:divBdr>
                  <w:divsChild>
                    <w:div w:id="1326202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2211090">
                  <w:marLeft w:val="0"/>
                  <w:marRight w:val="0"/>
                  <w:marTop w:val="0"/>
                  <w:marBottom w:val="0"/>
                  <w:divBdr>
                    <w:top w:val="dashed" w:sz="2" w:space="0" w:color="FFFFFF"/>
                    <w:left w:val="dashed" w:sz="2" w:space="0" w:color="FFFFFF"/>
                    <w:bottom w:val="dashed" w:sz="2" w:space="0" w:color="FFFFFF"/>
                    <w:right w:val="dashed" w:sz="2" w:space="0" w:color="FFFFFF"/>
                  </w:divBdr>
                </w:div>
                <w:div w:id="109319618">
                  <w:marLeft w:val="0"/>
                  <w:marRight w:val="0"/>
                  <w:marTop w:val="0"/>
                  <w:marBottom w:val="0"/>
                  <w:divBdr>
                    <w:top w:val="dashed" w:sz="2" w:space="0" w:color="FFFFFF"/>
                    <w:left w:val="dashed" w:sz="2" w:space="0" w:color="FFFFFF"/>
                    <w:bottom w:val="dashed" w:sz="2" w:space="0" w:color="FFFFFF"/>
                    <w:right w:val="dashed" w:sz="2" w:space="0" w:color="FFFFFF"/>
                  </w:divBdr>
                  <w:divsChild>
                    <w:div w:id="1765374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0524575">
                  <w:marLeft w:val="0"/>
                  <w:marRight w:val="0"/>
                  <w:marTop w:val="0"/>
                  <w:marBottom w:val="0"/>
                  <w:divBdr>
                    <w:top w:val="dashed" w:sz="2" w:space="0" w:color="FFFFFF"/>
                    <w:left w:val="dashed" w:sz="2" w:space="0" w:color="FFFFFF"/>
                    <w:bottom w:val="dashed" w:sz="2" w:space="0" w:color="FFFFFF"/>
                    <w:right w:val="dashed" w:sz="2" w:space="0" w:color="FFFFFF"/>
                  </w:divBdr>
                </w:div>
                <w:div w:id="1418596200">
                  <w:marLeft w:val="0"/>
                  <w:marRight w:val="0"/>
                  <w:marTop w:val="0"/>
                  <w:marBottom w:val="0"/>
                  <w:divBdr>
                    <w:top w:val="dashed" w:sz="2" w:space="0" w:color="FFFFFF"/>
                    <w:left w:val="dashed" w:sz="2" w:space="0" w:color="FFFFFF"/>
                    <w:bottom w:val="dashed" w:sz="2" w:space="0" w:color="FFFFFF"/>
                    <w:right w:val="dashed" w:sz="2" w:space="0" w:color="FFFFFF"/>
                  </w:divBdr>
                  <w:divsChild>
                    <w:div w:id="1586836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9896783">
                  <w:marLeft w:val="0"/>
                  <w:marRight w:val="0"/>
                  <w:marTop w:val="0"/>
                  <w:marBottom w:val="0"/>
                  <w:divBdr>
                    <w:top w:val="dashed" w:sz="2" w:space="0" w:color="FFFFFF"/>
                    <w:left w:val="dashed" w:sz="2" w:space="0" w:color="FFFFFF"/>
                    <w:bottom w:val="dashed" w:sz="2" w:space="0" w:color="FFFFFF"/>
                    <w:right w:val="dashed" w:sz="2" w:space="0" w:color="FFFFFF"/>
                  </w:divBdr>
                </w:div>
                <w:div w:id="291713583">
                  <w:marLeft w:val="0"/>
                  <w:marRight w:val="0"/>
                  <w:marTop w:val="0"/>
                  <w:marBottom w:val="0"/>
                  <w:divBdr>
                    <w:top w:val="dashed" w:sz="2" w:space="0" w:color="FFFFFF"/>
                    <w:left w:val="dashed" w:sz="2" w:space="0" w:color="FFFFFF"/>
                    <w:bottom w:val="dashed" w:sz="2" w:space="0" w:color="FFFFFF"/>
                    <w:right w:val="dashed" w:sz="2" w:space="0" w:color="FFFFFF"/>
                  </w:divBdr>
                  <w:divsChild>
                    <w:div w:id="1222979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4799865">
                  <w:marLeft w:val="0"/>
                  <w:marRight w:val="0"/>
                  <w:marTop w:val="0"/>
                  <w:marBottom w:val="0"/>
                  <w:divBdr>
                    <w:top w:val="dashed" w:sz="2" w:space="0" w:color="FFFFFF"/>
                    <w:left w:val="dashed" w:sz="2" w:space="0" w:color="FFFFFF"/>
                    <w:bottom w:val="dashed" w:sz="2" w:space="0" w:color="FFFFFF"/>
                    <w:right w:val="dashed" w:sz="2" w:space="0" w:color="FFFFFF"/>
                  </w:divBdr>
                </w:div>
                <w:div w:id="665091329">
                  <w:marLeft w:val="0"/>
                  <w:marRight w:val="0"/>
                  <w:marTop w:val="0"/>
                  <w:marBottom w:val="0"/>
                  <w:divBdr>
                    <w:top w:val="dashed" w:sz="2" w:space="0" w:color="FFFFFF"/>
                    <w:left w:val="dashed" w:sz="2" w:space="0" w:color="FFFFFF"/>
                    <w:bottom w:val="dashed" w:sz="2" w:space="0" w:color="FFFFFF"/>
                    <w:right w:val="dashed" w:sz="2" w:space="0" w:color="FFFFFF"/>
                  </w:divBdr>
                  <w:divsChild>
                    <w:div w:id="1227447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9131076">
                  <w:marLeft w:val="0"/>
                  <w:marRight w:val="0"/>
                  <w:marTop w:val="0"/>
                  <w:marBottom w:val="0"/>
                  <w:divBdr>
                    <w:top w:val="dashed" w:sz="2" w:space="0" w:color="FFFFFF"/>
                    <w:left w:val="dashed" w:sz="2" w:space="0" w:color="FFFFFF"/>
                    <w:bottom w:val="dashed" w:sz="2" w:space="0" w:color="FFFFFF"/>
                    <w:right w:val="dashed" w:sz="2" w:space="0" w:color="FFFFFF"/>
                  </w:divBdr>
                </w:div>
                <w:div w:id="777287487">
                  <w:marLeft w:val="0"/>
                  <w:marRight w:val="0"/>
                  <w:marTop w:val="0"/>
                  <w:marBottom w:val="0"/>
                  <w:divBdr>
                    <w:top w:val="dashed" w:sz="2" w:space="0" w:color="FFFFFF"/>
                    <w:left w:val="dashed" w:sz="2" w:space="0" w:color="FFFFFF"/>
                    <w:bottom w:val="dashed" w:sz="2" w:space="0" w:color="FFFFFF"/>
                    <w:right w:val="dashed" w:sz="2" w:space="0" w:color="FFFFFF"/>
                  </w:divBdr>
                  <w:divsChild>
                    <w:div w:id="14855820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0748187">
                  <w:marLeft w:val="0"/>
                  <w:marRight w:val="0"/>
                  <w:marTop w:val="0"/>
                  <w:marBottom w:val="0"/>
                  <w:divBdr>
                    <w:top w:val="dashed" w:sz="2" w:space="0" w:color="FFFFFF"/>
                    <w:left w:val="dashed" w:sz="2" w:space="0" w:color="FFFFFF"/>
                    <w:bottom w:val="dashed" w:sz="2" w:space="0" w:color="FFFFFF"/>
                    <w:right w:val="dashed" w:sz="2" w:space="0" w:color="FFFFFF"/>
                  </w:divBdr>
                </w:div>
                <w:div w:id="487671362">
                  <w:marLeft w:val="0"/>
                  <w:marRight w:val="0"/>
                  <w:marTop w:val="0"/>
                  <w:marBottom w:val="0"/>
                  <w:divBdr>
                    <w:top w:val="dashed" w:sz="2" w:space="0" w:color="FFFFFF"/>
                    <w:left w:val="dashed" w:sz="2" w:space="0" w:color="FFFFFF"/>
                    <w:bottom w:val="dashed" w:sz="2" w:space="0" w:color="FFFFFF"/>
                    <w:right w:val="dashed" w:sz="2" w:space="0" w:color="FFFFFF"/>
                  </w:divBdr>
                  <w:divsChild>
                    <w:div w:id="1593782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2306459">
                  <w:marLeft w:val="0"/>
                  <w:marRight w:val="0"/>
                  <w:marTop w:val="0"/>
                  <w:marBottom w:val="0"/>
                  <w:divBdr>
                    <w:top w:val="dashed" w:sz="2" w:space="0" w:color="FFFFFF"/>
                    <w:left w:val="dashed" w:sz="2" w:space="0" w:color="FFFFFF"/>
                    <w:bottom w:val="dashed" w:sz="2" w:space="0" w:color="FFFFFF"/>
                    <w:right w:val="dashed" w:sz="2" w:space="0" w:color="FFFFFF"/>
                  </w:divBdr>
                </w:div>
                <w:div w:id="1997683936">
                  <w:marLeft w:val="0"/>
                  <w:marRight w:val="0"/>
                  <w:marTop w:val="0"/>
                  <w:marBottom w:val="0"/>
                  <w:divBdr>
                    <w:top w:val="dashed" w:sz="2" w:space="0" w:color="FFFFFF"/>
                    <w:left w:val="dashed" w:sz="2" w:space="0" w:color="FFFFFF"/>
                    <w:bottom w:val="dashed" w:sz="2" w:space="0" w:color="FFFFFF"/>
                    <w:right w:val="dashed" w:sz="2" w:space="0" w:color="FFFFFF"/>
                  </w:divBdr>
                  <w:divsChild>
                    <w:div w:id="57945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1335078">
                  <w:marLeft w:val="0"/>
                  <w:marRight w:val="0"/>
                  <w:marTop w:val="0"/>
                  <w:marBottom w:val="0"/>
                  <w:divBdr>
                    <w:top w:val="dashed" w:sz="2" w:space="0" w:color="FFFFFF"/>
                    <w:left w:val="dashed" w:sz="2" w:space="0" w:color="FFFFFF"/>
                    <w:bottom w:val="dashed" w:sz="2" w:space="0" w:color="FFFFFF"/>
                    <w:right w:val="dashed" w:sz="2" w:space="0" w:color="FFFFFF"/>
                  </w:divBdr>
                </w:div>
                <w:div w:id="620769120">
                  <w:marLeft w:val="0"/>
                  <w:marRight w:val="0"/>
                  <w:marTop w:val="0"/>
                  <w:marBottom w:val="0"/>
                  <w:divBdr>
                    <w:top w:val="dashed" w:sz="2" w:space="0" w:color="FFFFFF"/>
                    <w:left w:val="dashed" w:sz="2" w:space="0" w:color="FFFFFF"/>
                    <w:bottom w:val="dashed" w:sz="2" w:space="0" w:color="FFFFFF"/>
                    <w:right w:val="dashed" w:sz="2" w:space="0" w:color="FFFFFF"/>
                  </w:divBdr>
                  <w:divsChild>
                    <w:div w:id="1514028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075595">
                  <w:marLeft w:val="0"/>
                  <w:marRight w:val="0"/>
                  <w:marTop w:val="0"/>
                  <w:marBottom w:val="0"/>
                  <w:divBdr>
                    <w:top w:val="dashed" w:sz="2" w:space="0" w:color="FFFFFF"/>
                    <w:left w:val="dashed" w:sz="2" w:space="0" w:color="FFFFFF"/>
                    <w:bottom w:val="dashed" w:sz="2" w:space="0" w:color="FFFFFF"/>
                    <w:right w:val="dashed" w:sz="2" w:space="0" w:color="FFFFFF"/>
                  </w:divBdr>
                </w:div>
                <w:div w:id="1775514265">
                  <w:marLeft w:val="0"/>
                  <w:marRight w:val="0"/>
                  <w:marTop w:val="0"/>
                  <w:marBottom w:val="0"/>
                  <w:divBdr>
                    <w:top w:val="dashed" w:sz="2" w:space="0" w:color="FFFFFF"/>
                    <w:left w:val="dashed" w:sz="2" w:space="0" w:color="FFFFFF"/>
                    <w:bottom w:val="dashed" w:sz="2" w:space="0" w:color="FFFFFF"/>
                    <w:right w:val="dashed" w:sz="2" w:space="0" w:color="FFFFFF"/>
                  </w:divBdr>
                  <w:divsChild>
                    <w:div w:id="1047069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2442891">
                  <w:marLeft w:val="0"/>
                  <w:marRight w:val="0"/>
                  <w:marTop w:val="0"/>
                  <w:marBottom w:val="0"/>
                  <w:divBdr>
                    <w:top w:val="dashed" w:sz="2" w:space="0" w:color="FFFFFF"/>
                    <w:left w:val="dashed" w:sz="2" w:space="0" w:color="FFFFFF"/>
                    <w:bottom w:val="dashed" w:sz="2" w:space="0" w:color="FFFFFF"/>
                    <w:right w:val="dashed" w:sz="2" w:space="0" w:color="FFFFFF"/>
                  </w:divBdr>
                </w:div>
                <w:div w:id="1860073833">
                  <w:marLeft w:val="0"/>
                  <w:marRight w:val="0"/>
                  <w:marTop w:val="0"/>
                  <w:marBottom w:val="0"/>
                  <w:divBdr>
                    <w:top w:val="dashed" w:sz="2" w:space="0" w:color="FFFFFF"/>
                    <w:left w:val="dashed" w:sz="2" w:space="0" w:color="FFFFFF"/>
                    <w:bottom w:val="dashed" w:sz="2" w:space="0" w:color="FFFFFF"/>
                    <w:right w:val="dashed" w:sz="2" w:space="0" w:color="FFFFFF"/>
                  </w:divBdr>
                  <w:divsChild>
                    <w:div w:id="774402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5899660">
                  <w:marLeft w:val="0"/>
                  <w:marRight w:val="0"/>
                  <w:marTop w:val="0"/>
                  <w:marBottom w:val="0"/>
                  <w:divBdr>
                    <w:top w:val="dashed" w:sz="2" w:space="0" w:color="FFFFFF"/>
                    <w:left w:val="dashed" w:sz="2" w:space="0" w:color="FFFFFF"/>
                    <w:bottom w:val="dashed" w:sz="2" w:space="0" w:color="FFFFFF"/>
                    <w:right w:val="dashed" w:sz="2" w:space="0" w:color="FFFFFF"/>
                  </w:divBdr>
                </w:div>
                <w:div w:id="211580618">
                  <w:marLeft w:val="0"/>
                  <w:marRight w:val="0"/>
                  <w:marTop w:val="0"/>
                  <w:marBottom w:val="0"/>
                  <w:divBdr>
                    <w:top w:val="dashed" w:sz="2" w:space="0" w:color="FFFFFF"/>
                    <w:left w:val="dashed" w:sz="2" w:space="0" w:color="FFFFFF"/>
                    <w:bottom w:val="dashed" w:sz="2" w:space="0" w:color="FFFFFF"/>
                    <w:right w:val="dashed" w:sz="2" w:space="0" w:color="FFFFFF"/>
                  </w:divBdr>
                  <w:divsChild>
                    <w:div w:id="413548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0819886">
                  <w:marLeft w:val="0"/>
                  <w:marRight w:val="0"/>
                  <w:marTop w:val="0"/>
                  <w:marBottom w:val="0"/>
                  <w:divBdr>
                    <w:top w:val="dashed" w:sz="2" w:space="0" w:color="FFFFFF"/>
                    <w:left w:val="dashed" w:sz="2" w:space="0" w:color="FFFFFF"/>
                    <w:bottom w:val="dashed" w:sz="2" w:space="0" w:color="FFFFFF"/>
                    <w:right w:val="dashed" w:sz="2" w:space="0" w:color="FFFFFF"/>
                  </w:divBdr>
                </w:div>
                <w:div w:id="765880808">
                  <w:marLeft w:val="0"/>
                  <w:marRight w:val="0"/>
                  <w:marTop w:val="0"/>
                  <w:marBottom w:val="0"/>
                  <w:divBdr>
                    <w:top w:val="dashed" w:sz="2" w:space="0" w:color="FFFFFF"/>
                    <w:left w:val="dashed" w:sz="2" w:space="0" w:color="FFFFFF"/>
                    <w:bottom w:val="dashed" w:sz="2" w:space="0" w:color="FFFFFF"/>
                    <w:right w:val="dashed" w:sz="2" w:space="0" w:color="FFFFFF"/>
                  </w:divBdr>
                  <w:divsChild>
                    <w:div w:id="1863394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398124">
                  <w:marLeft w:val="0"/>
                  <w:marRight w:val="0"/>
                  <w:marTop w:val="0"/>
                  <w:marBottom w:val="0"/>
                  <w:divBdr>
                    <w:top w:val="dashed" w:sz="2" w:space="0" w:color="FFFFFF"/>
                    <w:left w:val="dashed" w:sz="2" w:space="0" w:color="FFFFFF"/>
                    <w:bottom w:val="dashed" w:sz="2" w:space="0" w:color="FFFFFF"/>
                    <w:right w:val="dashed" w:sz="2" w:space="0" w:color="FFFFFF"/>
                  </w:divBdr>
                </w:div>
                <w:div w:id="2027554724">
                  <w:marLeft w:val="0"/>
                  <w:marRight w:val="0"/>
                  <w:marTop w:val="0"/>
                  <w:marBottom w:val="0"/>
                  <w:divBdr>
                    <w:top w:val="dashed" w:sz="2" w:space="0" w:color="FFFFFF"/>
                    <w:left w:val="dashed" w:sz="2" w:space="0" w:color="FFFFFF"/>
                    <w:bottom w:val="dashed" w:sz="2" w:space="0" w:color="FFFFFF"/>
                    <w:right w:val="dashed" w:sz="2" w:space="0" w:color="FFFFFF"/>
                  </w:divBdr>
                </w:div>
                <w:div w:id="484513815">
                  <w:marLeft w:val="0"/>
                  <w:marRight w:val="0"/>
                  <w:marTop w:val="0"/>
                  <w:marBottom w:val="0"/>
                  <w:divBdr>
                    <w:top w:val="dashed" w:sz="2" w:space="0" w:color="FFFFFF"/>
                    <w:left w:val="dashed" w:sz="2" w:space="0" w:color="FFFFFF"/>
                    <w:bottom w:val="dashed" w:sz="2" w:space="0" w:color="FFFFFF"/>
                    <w:right w:val="dashed" w:sz="2" w:space="0" w:color="FFFFFF"/>
                  </w:divBdr>
                </w:div>
                <w:div w:id="1280914428">
                  <w:marLeft w:val="0"/>
                  <w:marRight w:val="0"/>
                  <w:marTop w:val="0"/>
                  <w:marBottom w:val="0"/>
                  <w:divBdr>
                    <w:top w:val="dashed" w:sz="2" w:space="0" w:color="FFFFFF"/>
                    <w:left w:val="dashed" w:sz="2" w:space="0" w:color="FFFFFF"/>
                    <w:bottom w:val="dashed" w:sz="2" w:space="0" w:color="FFFFFF"/>
                    <w:right w:val="dashed" w:sz="2" w:space="0" w:color="FFFFFF"/>
                  </w:divBdr>
                  <w:divsChild>
                    <w:div w:id="1402755423">
                      <w:marLeft w:val="0"/>
                      <w:marRight w:val="0"/>
                      <w:marTop w:val="0"/>
                      <w:marBottom w:val="0"/>
                      <w:divBdr>
                        <w:top w:val="dashed" w:sz="2" w:space="0" w:color="FFFFFF"/>
                        <w:left w:val="dashed" w:sz="2" w:space="0" w:color="FFFFFF"/>
                        <w:bottom w:val="dashed" w:sz="2" w:space="0" w:color="FFFFFF"/>
                        <w:right w:val="dashed" w:sz="2" w:space="0" w:color="FFFFFF"/>
                      </w:divBdr>
                    </w:div>
                    <w:div w:id="859661179">
                      <w:marLeft w:val="0"/>
                      <w:marRight w:val="0"/>
                      <w:marTop w:val="0"/>
                      <w:marBottom w:val="0"/>
                      <w:divBdr>
                        <w:top w:val="dashed" w:sz="2" w:space="0" w:color="FFFFFF"/>
                        <w:left w:val="dashed" w:sz="2" w:space="0" w:color="FFFFFF"/>
                        <w:bottom w:val="dashed" w:sz="2" w:space="0" w:color="FFFFFF"/>
                        <w:right w:val="dashed" w:sz="2" w:space="0" w:color="FFFFFF"/>
                      </w:divBdr>
                    </w:div>
                    <w:div w:id="2043902000">
                      <w:marLeft w:val="0"/>
                      <w:marRight w:val="0"/>
                      <w:marTop w:val="0"/>
                      <w:marBottom w:val="0"/>
                      <w:divBdr>
                        <w:top w:val="dashed" w:sz="2" w:space="0" w:color="FFFFFF"/>
                        <w:left w:val="dashed" w:sz="2" w:space="0" w:color="FFFFFF"/>
                        <w:bottom w:val="dashed" w:sz="2" w:space="0" w:color="FFFFFF"/>
                        <w:right w:val="dashed" w:sz="2" w:space="0" w:color="FFFFFF"/>
                      </w:divBdr>
                    </w:div>
                    <w:div w:id="2067070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3887245">
                  <w:marLeft w:val="0"/>
                  <w:marRight w:val="0"/>
                  <w:marTop w:val="0"/>
                  <w:marBottom w:val="0"/>
                  <w:divBdr>
                    <w:top w:val="dashed" w:sz="2" w:space="0" w:color="FFFFFF"/>
                    <w:left w:val="dashed" w:sz="2" w:space="0" w:color="FFFFFF"/>
                    <w:bottom w:val="dashed" w:sz="2" w:space="0" w:color="FFFFFF"/>
                    <w:right w:val="dashed" w:sz="2" w:space="0" w:color="FFFFFF"/>
                  </w:divBdr>
                </w:div>
                <w:div w:id="672297338">
                  <w:marLeft w:val="0"/>
                  <w:marRight w:val="0"/>
                  <w:marTop w:val="0"/>
                  <w:marBottom w:val="0"/>
                  <w:divBdr>
                    <w:top w:val="dashed" w:sz="2" w:space="0" w:color="FFFFFF"/>
                    <w:left w:val="dashed" w:sz="2" w:space="0" w:color="FFFFFF"/>
                    <w:bottom w:val="dashed" w:sz="2" w:space="0" w:color="FFFFFF"/>
                    <w:right w:val="dashed" w:sz="2" w:space="0" w:color="FFFFFF"/>
                  </w:divBdr>
                  <w:divsChild>
                    <w:div w:id="1851943050">
                      <w:marLeft w:val="0"/>
                      <w:marRight w:val="0"/>
                      <w:marTop w:val="0"/>
                      <w:marBottom w:val="0"/>
                      <w:divBdr>
                        <w:top w:val="dashed" w:sz="2" w:space="0" w:color="FFFFFF"/>
                        <w:left w:val="dashed" w:sz="2" w:space="0" w:color="FFFFFF"/>
                        <w:bottom w:val="dashed" w:sz="2" w:space="0" w:color="FFFFFF"/>
                        <w:right w:val="dashed" w:sz="2" w:space="0" w:color="FFFFFF"/>
                      </w:divBdr>
                    </w:div>
                    <w:div w:id="388384708">
                      <w:marLeft w:val="0"/>
                      <w:marRight w:val="0"/>
                      <w:marTop w:val="0"/>
                      <w:marBottom w:val="0"/>
                      <w:divBdr>
                        <w:top w:val="dashed" w:sz="2" w:space="0" w:color="FFFFFF"/>
                        <w:left w:val="dashed" w:sz="2" w:space="0" w:color="FFFFFF"/>
                        <w:bottom w:val="dashed" w:sz="2" w:space="0" w:color="FFFFFF"/>
                        <w:right w:val="dashed" w:sz="2" w:space="0" w:color="FFFFFF"/>
                      </w:divBdr>
                    </w:div>
                    <w:div w:id="1214849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3647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perator\sintact%204.0\cache\Legislatie\temp527026\00078666.htm" TargetMode="External"/><Relationship Id="rId3" Type="http://schemas.openxmlformats.org/officeDocument/2006/relationships/settings" Target="settings.xml"/><Relationship Id="rId7" Type="http://schemas.openxmlformats.org/officeDocument/2006/relationships/hyperlink" Target="file:///C:\Users\operator\sintact%204.0\cache\Legislatie\temp527026\00073786.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file:///C:\Users\operator\sintact%204.0\cache\Legislatie\temp527026\0010030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834</Words>
  <Characters>4838</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2018-04-04T08:49:00Z</dcterms:created>
  <dcterms:modified xsi:type="dcterms:W3CDTF">2018-04-04T08:50:00Z</dcterms:modified>
</cp:coreProperties>
</file>