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26" w:rsidRPr="001B7BA6" w:rsidRDefault="00CD3F26" w:rsidP="00CD3F26">
      <w:pPr>
        <w:ind w:left="0"/>
        <w:rPr>
          <w:rFonts w:cs="Arial"/>
          <w:b/>
          <w:lang w:val="ro-RO"/>
        </w:rPr>
      </w:pPr>
    </w:p>
    <w:p w:rsidR="001B7BA6" w:rsidRPr="001B7BA6" w:rsidRDefault="0064218B" w:rsidP="001B7BA6">
      <w:pPr>
        <w:ind w:left="0"/>
        <w:jc w:val="center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>O R D I N  Nr. _____</w:t>
      </w:r>
    </w:p>
    <w:p w:rsidR="001B7BA6" w:rsidRPr="001B7BA6" w:rsidRDefault="001B7BA6" w:rsidP="001B7BA6">
      <w:pPr>
        <w:ind w:left="0"/>
        <w:jc w:val="center"/>
        <w:rPr>
          <w:b/>
          <w:lang w:val="ro-RO"/>
        </w:rPr>
      </w:pPr>
      <w:r w:rsidRPr="001B7BA6">
        <w:rPr>
          <w:b/>
          <w:lang w:val="ro-RO"/>
        </w:rPr>
        <w:t xml:space="preserve">pentru aprobarea Procedurii de înregistrare on-line și de aprobare </w:t>
      </w:r>
    </w:p>
    <w:p w:rsidR="001B7BA6" w:rsidRPr="001B7BA6" w:rsidRDefault="001B7BA6" w:rsidP="001B7BA6">
      <w:pPr>
        <w:ind w:left="0"/>
        <w:jc w:val="center"/>
        <w:rPr>
          <w:rFonts w:cs="Arial"/>
          <w:b/>
          <w:lang w:val="ro-RO"/>
        </w:rPr>
      </w:pPr>
      <w:r w:rsidRPr="001B7BA6">
        <w:rPr>
          <w:b/>
          <w:lang w:val="ro-RO"/>
        </w:rPr>
        <w:t>a tarifelor pentru</w:t>
      </w:r>
      <w:r w:rsidRPr="001B7BA6">
        <w:rPr>
          <w:lang w:val="ro-RO"/>
        </w:rPr>
        <w:t xml:space="preserve"> </w:t>
      </w:r>
      <w:r w:rsidRPr="001B7BA6">
        <w:rPr>
          <w:b/>
          <w:lang w:val="ro-RO"/>
        </w:rPr>
        <w:t>accesul la Registrul beneficiarilor reali ținut de Oficiul Național al Registrului Comerțului</w:t>
      </w:r>
    </w:p>
    <w:p w:rsidR="00090EA3" w:rsidRPr="001B7BA6" w:rsidRDefault="00090EA3" w:rsidP="00CD3F26">
      <w:pPr>
        <w:ind w:left="0"/>
        <w:jc w:val="center"/>
        <w:rPr>
          <w:rFonts w:cs="Arial"/>
          <w:b/>
          <w:lang w:val="ro-RO"/>
        </w:rPr>
      </w:pPr>
    </w:p>
    <w:p w:rsidR="0064218B" w:rsidRPr="001B7BA6" w:rsidRDefault="0064218B" w:rsidP="00CD3F26">
      <w:pPr>
        <w:ind w:left="0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 xml:space="preserve">Ministrul </w:t>
      </w:r>
      <w:r w:rsidR="001B7BA6" w:rsidRPr="001B7BA6">
        <w:rPr>
          <w:rFonts w:cs="Arial"/>
          <w:b/>
          <w:lang w:val="ro-RO"/>
        </w:rPr>
        <w:t>Justiției</w:t>
      </w:r>
      <w:r w:rsidRPr="001B7BA6">
        <w:rPr>
          <w:rFonts w:cs="Arial"/>
          <w:b/>
          <w:lang w:val="ro-RO"/>
        </w:rPr>
        <w:t xml:space="preserve">, </w:t>
      </w:r>
    </w:p>
    <w:p w:rsidR="001B7BA6" w:rsidRPr="001B7BA6" w:rsidRDefault="001B7BA6" w:rsidP="001B7BA6">
      <w:pPr>
        <w:spacing w:after="200"/>
        <w:ind w:left="0"/>
        <w:rPr>
          <w:lang w:val="ro-RO"/>
        </w:rPr>
      </w:pPr>
      <w:r w:rsidRPr="001B7BA6">
        <w:rPr>
          <w:rFonts w:cs="Arial"/>
          <w:lang w:val="ro-RO"/>
        </w:rPr>
        <w:t>în temeiul</w:t>
      </w:r>
      <w:r w:rsidRPr="001B7BA6">
        <w:rPr>
          <w:rFonts w:cs="Arial"/>
          <w:b/>
          <w:lang w:val="ro-RO"/>
        </w:rPr>
        <w:t xml:space="preserve"> </w:t>
      </w:r>
      <w:r w:rsidRPr="001B7BA6">
        <w:rPr>
          <w:lang w:val="ro-RO"/>
        </w:rPr>
        <w:t>dispozițiilor art. 19 alin. (8</w:t>
      </w:r>
      <w:r w:rsidRPr="001B7BA6">
        <w:rPr>
          <w:vertAlign w:val="superscript"/>
          <w:lang w:val="ro-RO"/>
        </w:rPr>
        <w:t>2</w:t>
      </w:r>
      <w:r w:rsidRPr="001B7BA6">
        <w:rPr>
          <w:lang w:val="ro-RO"/>
        </w:rPr>
        <w:t>) din Legea nr. 129/2019 pentru prevenirea şi combaterea spălării banilor şi finanţării terorismului, precum şi pentru modificarea şi completarea unor acte normative, cu modificările şi completările ulterioare,</w:t>
      </w:r>
    </w:p>
    <w:p w:rsidR="001B7BA6" w:rsidRPr="001B7BA6" w:rsidRDefault="001B7BA6" w:rsidP="001B7BA6">
      <w:pPr>
        <w:spacing w:after="200"/>
        <w:ind w:left="0"/>
        <w:rPr>
          <w:lang w:val="ro-RO"/>
        </w:rPr>
      </w:pPr>
      <w:r w:rsidRPr="001B7BA6">
        <w:rPr>
          <w:rFonts w:cs="Arial"/>
          <w:lang w:val="ro-RO"/>
        </w:rPr>
        <w:t>în conformitate cu</w:t>
      </w:r>
      <w:r w:rsidRPr="001B7BA6">
        <w:rPr>
          <w:rFonts w:cs="Arial"/>
          <w:b/>
          <w:lang w:val="ro-RO"/>
        </w:rPr>
        <w:t xml:space="preserve"> </w:t>
      </w:r>
      <w:r w:rsidRPr="001B7BA6">
        <w:rPr>
          <w:lang w:val="ro-RO"/>
        </w:rPr>
        <w:t>dispozițiile art. VIII alin. (7) din Ordonanța de urgență a Guvernului nr. 111/2020 privind modificarea şi completarea Legii nr. 129/2019 pentru prevenirea şi combaterea spălării banilor şi finanțării terorismului, precum şi pentru modificarea şi completarea unor acte normative, pentru completarea art. 218 din Ordonanța de urgență a Guvernului nr. 99/2006 privind instituţiile de credit şi adecvarea capitalului, pentru modificarea şi completarea Legii nr. 207/2015 privind Codul de procedură fiscală, precum şi pentru completarea art. 12 alin. (5) din Legea nr. 237/2015 privind autorizarea şi supravegherea activității de asigurare și reasigurare,</w:t>
      </w:r>
    </w:p>
    <w:p w:rsidR="00CD3F26" w:rsidRPr="001B7BA6" w:rsidRDefault="001B7BA6" w:rsidP="001B7BA6">
      <w:pPr>
        <w:ind w:left="60"/>
        <w:rPr>
          <w:lang w:val="ro-RO"/>
        </w:rPr>
      </w:pPr>
      <w:r w:rsidRPr="001B7BA6">
        <w:rPr>
          <w:lang w:val="ro-RO"/>
        </w:rPr>
        <w:t>Având în vedere dispozițiile art. 13 și art. 36 din Hotărârea Guvernului nr. 652/2009 privind organizarea şi funcționarea Ministerului Justiției, publicată în Monitorul Oficial nr. 443 din 29 iunie 2009, cu modificările şi completările ulterioare,</w:t>
      </w:r>
    </w:p>
    <w:p w:rsidR="0064218B" w:rsidRPr="001B7BA6" w:rsidRDefault="0064218B" w:rsidP="00CD3F26">
      <w:pPr>
        <w:ind w:left="0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 xml:space="preserve">Emite următorul </w:t>
      </w:r>
    </w:p>
    <w:p w:rsidR="00CD3F26" w:rsidRPr="001B7BA6" w:rsidRDefault="0064218B" w:rsidP="001B7BA6">
      <w:pPr>
        <w:pStyle w:val="Heading1"/>
        <w:spacing w:before="0" w:after="120"/>
        <w:ind w:left="0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1B7BA6">
        <w:rPr>
          <w:rFonts w:ascii="Trebuchet MS" w:hAnsi="Trebuchet MS" w:cs="Arial"/>
          <w:sz w:val="22"/>
          <w:szCs w:val="22"/>
          <w:lang w:val="ro-RO"/>
        </w:rPr>
        <w:t>O R D I N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1. - Se aprobă Procedura de înregistrare on-line pentru accesul la Registrul beneficiarilor reali ținut de Oficiul Naţional al Registrului Comerţului, prevăzută la anexa 1 care face parte integrantă din prezentul ordin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2 - Procedura aprobată prin prezentul ordin se aplică pentru asigurarea accesului la datele înregistrate în Registrul beneficiarilor reali a persoanelor fizice şi juridice îndreptățite conform art. 19 alin.(8) lit. c) din Legea nr. 129/2019 pentru prevenire şi combaterea spălării banilor şi finanțării terorismului, precum şi pentru modificarea şi completarea unor acte normative, cu modificările şi completările ulterioare, denumită în continuare Legea nr.129/2019.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 </w:t>
      </w:r>
      <w:r>
        <w:rPr>
          <w:lang w:val="ro-RO"/>
        </w:rPr>
        <w:t>3</w:t>
      </w:r>
      <w:r w:rsidRPr="001B7BA6">
        <w:rPr>
          <w:lang w:val="ro-RO"/>
        </w:rPr>
        <w:t xml:space="preserve">. </w:t>
      </w:r>
      <w:bookmarkStart w:id="0" w:name="_Hlk48036243"/>
      <w:r w:rsidRPr="001B7BA6">
        <w:rPr>
          <w:lang w:val="ro-RO"/>
        </w:rPr>
        <w:t xml:space="preserve">- Procedura aprobată prin prezentul ordin se aplică și autorităților care au competență de supraveghere și control, organelor judiciare, </w:t>
      </w:r>
      <w:r w:rsidRPr="001B7BA6">
        <w:rPr>
          <w:rFonts w:eastAsia="Times New Roman"/>
          <w:lang w:val="ro-RO"/>
        </w:rPr>
        <w:t xml:space="preserve">Oficiului </w:t>
      </w:r>
      <w:r w:rsidRPr="001B7BA6">
        <w:rPr>
          <w:rFonts w:cstheme="minorHAnsi"/>
          <w:lang w:val="ro-RO"/>
        </w:rPr>
        <w:t xml:space="preserve">Național pentru Prevenirea și Combaterea Spălării Banilor, denumit în continuare ONPCSB, și entităților raportoare potrivit art. 19 </w:t>
      </w:r>
      <w:r w:rsidRPr="001B7BA6">
        <w:rPr>
          <w:lang w:val="ro-RO"/>
        </w:rPr>
        <w:t>alin. (8) din Legea nr. 129/2019,</w:t>
      </w:r>
      <w:r w:rsidRPr="001B7BA6">
        <w:rPr>
          <w:rFonts w:cstheme="minorHAnsi"/>
          <w:lang w:val="ro-RO"/>
        </w:rPr>
        <w:t xml:space="preserve"> </w:t>
      </w:r>
      <w:r w:rsidRPr="001B7BA6">
        <w:rPr>
          <w:lang w:val="ro-RO"/>
        </w:rPr>
        <w:t xml:space="preserve"> dacă optează pentru asigurarea acestei modalități de acces la Registrul beneficiarilor reali</w:t>
      </w:r>
      <w:bookmarkEnd w:id="0"/>
      <w:r w:rsidRPr="001B7BA6">
        <w:rPr>
          <w:lang w:val="ro-RO"/>
        </w:rPr>
        <w:t xml:space="preserve">.  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lastRenderedPageBreak/>
        <w:t xml:space="preserve">Art.3 - Se aprobă tarifele pentru accesul  persoanelor fizice și juridice prevăzute la art. </w:t>
      </w:r>
      <w:r w:rsidRPr="001B7BA6">
        <w:rPr>
          <w:rFonts w:cstheme="minorHAnsi"/>
          <w:lang w:val="ro-RO"/>
        </w:rPr>
        <w:t xml:space="preserve">19 </w:t>
      </w:r>
      <w:r w:rsidRPr="001B7BA6">
        <w:rPr>
          <w:lang w:val="ro-RO"/>
        </w:rPr>
        <w:t>alin. (8) lit. c) din Legea nr. 129/2019 la Registrul beneficiarilor reali, prevăzute în anexa nr. 2, care face parte integrantă din prezentul ordin.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Art.4. - Tarifele pentru accesul la Registrul beneficiarilor reali se achită exclusiv on-line, prin portalul de servicii on-line al Oficiului Naţional al Registrului Comerţului, denumit în continuare ONRC. 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Art.5. - Până la data de 1 noiembrie 2020, ONRC va operaționaliza accesul on-line la informațiile înregistrate în Registrul beneficiarilor reali. </w:t>
      </w:r>
    </w:p>
    <w:p w:rsid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Art.6. - ONRC va lua măsurile necesare în vederea ducerii la îndeplinire a prevederilor prezentului ordin.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7. - Prezentul ordin se publică în Monitorul Oficial al României, Partea I.</w:t>
      </w:r>
    </w:p>
    <w:p w:rsidR="00D434B8" w:rsidRPr="001B7BA6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 w:firstLine="700"/>
        <w:jc w:val="both"/>
        <w:rPr>
          <w:rFonts w:ascii="Trebuchet MS" w:hAnsi="Trebuchet MS" w:cs="Arial"/>
          <w:bCs/>
          <w:sz w:val="22"/>
          <w:szCs w:val="22"/>
          <w:lang w:val="ro-RO"/>
        </w:rPr>
      </w:pP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</w:p>
    <w:p w:rsidR="0064218B" w:rsidRPr="001B7BA6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  <w:r w:rsidRPr="001B7BA6">
        <w:rPr>
          <w:rFonts w:ascii="Trebuchet MS" w:hAnsi="Trebuchet MS" w:cs="Arial"/>
          <w:b/>
          <w:bCs/>
          <w:sz w:val="22"/>
          <w:szCs w:val="22"/>
          <w:lang w:val="ro-RO"/>
        </w:rPr>
        <w:t>Bucureşti                                                                       Data</w:t>
      </w:r>
      <w:r w:rsidR="00090EA3" w:rsidRPr="001B7BA6">
        <w:rPr>
          <w:rFonts w:ascii="Trebuchet MS" w:hAnsi="Trebuchet MS" w:cs="Arial"/>
          <w:b/>
          <w:bCs/>
          <w:sz w:val="22"/>
          <w:szCs w:val="22"/>
          <w:lang w:val="ro-RO"/>
        </w:rPr>
        <w:t>:</w:t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 xml:space="preserve"> </w:t>
      </w:r>
    </w:p>
    <w:p w:rsidR="0064218B" w:rsidRPr="001B7BA6" w:rsidRDefault="0064218B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</w:p>
    <w:p w:rsidR="00CD3F26" w:rsidRPr="001B7BA6" w:rsidRDefault="00CD3F26" w:rsidP="00CD3F2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</w:p>
    <w:p w:rsidR="0064218B" w:rsidRPr="001B7BA6" w:rsidRDefault="0064218B" w:rsidP="00CD3F26">
      <w:pPr>
        <w:ind w:left="0"/>
        <w:jc w:val="center"/>
        <w:rPr>
          <w:rFonts w:cs="Arial"/>
          <w:lang w:val="ro-RO"/>
        </w:rPr>
      </w:pPr>
      <w:r w:rsidRPr="001B7BA6">
        <w:rPr>
          <w:rFonts w:cs="Arial"/>
          <w:lang w:val="ro-RO"/>
        </w:rPr>
        <w:t>Ministrul Justiţiei</w:t>
      </w:r>
    </w:p>
    <w:p w:rsidR="00D434B8" w:rsidRPr="001B7BA6" w:rsidRDefault="00D434B8" w:rsidP="00CD3F26">
      <w:pPr>
        <w:ind w:left="0"/>
        <w:jc w:val="center"/>
        <w:rPr>
          <w:lang w:val="ro-RO"/>
        </w:rPr>
      </w:pPr>
    </w:p>
    <w:p w:rsidR="0064218B" w:rsidRPr="001B7BA6" w:rsidRDefault="00090EA3" w:rsidP="00CD3F26">
      <w:pPr>
        <w:ind w:left="0"/>
        <w:jc w:val="center"/>
        <w:rPr>
          <w:rFonts w:cs="Arial"/>
          <w:lang w:val="ro-RO"/>
        </w:rPr>
      </w:pPr>
      <w:r w:rsidRPr="001B7BA6">
        <w:rPr>
          <w:rFonts w:cs="Arial"/>
          <w:lang w:val="ro-RO"/>
        </w:rPr>
        <w:t>Cătălin-Marian PREDOIU</w:t>
      </w:r>
    </w:p>
    <w:p w:rsidR="00D434B8" w:rsidRPr="001B7BA6" w:rsidRDefault="00D434B8" w:rsidP="00CD3F26">
      <w:pPr>
        <w:ind w:left="0"/>
        <w:rPr>
          <w:rFonts w:cs="Arial"/>
          <w:lang w:val="ro-RO"/>
        </w:rPr>
      </w:pPr>
    </w:p>
    <w:p w:rsidR="0064218B" w:rsidRPr="001B7BA6" w:rsidRDefault="0064218B" w:rsidP="00CD3F26">
      <w:pPr>
        <w:ind w:left="0"/>
        <w:rPr>
          <w:rFonts w:cs="Arial"/>
          <w:lang w:val="ro-RO"/>
        </w:rPr>
      </w:pPr>
    </w:p>
    <w:p w:rsidR="00D434B8" w:rsidRPr="001B7BA6" w:rsidRDefault="00D434B8" w:rsidP="00CD3F26">
      <w:pPr>
        <w:ind w:left="0"/>
        <w:rPr>
          <w:rFonts w:cs="Arial"/>
          <w:lang w:val="ro-RO"/>
        </w:rPr>
      </w:pPr>
    </w:p>
    <w:p w:rsidR="00D0182A" w:rsidRPr="001B7BA6" w:rsidRDefault="00D0182A" w:rsidP="00CD3F26">
      <w:pPr>
        <w:ind w:left="0"/>
        <w:rPr>
          <w:rFonts w:cs="Arial"/>
          <w:lang w:val="ro-RO"/>
        </w:rPr>
      </w:pPr>
    </w:p>
    <w:p w:rsidR="00CD3F26" w:rsidRPr="001B7BA6" w:rsidRDefault="00CD3F26" w:rsidP="00CD3F26">
      <w:pPr>
        <w:ind w:left="0"/>
        <w:rPr>
          <w:rFonts w:cs="Arial"/>
          <w:lang w:val="ro-RO"/>
        </w:rPr>
      </w:pPr>
    </w:p>
    <w:p w:rsidR="00CD3F26" w:rsidRPr="001B7BA6" w:rsidRDefault="00CD3F26" w:rsidP="00CD3F26">
      <w:pPr>
        <w:ind w:left="0"/>
        <w:rPr>
          <w:rFonts w:cs="Arial"/>
          <w:lang w:val="ro-RO"/>
        </w:rPr>
      </w:pPr>
    </w:p>
    <w:p w:rsidR="00CD3F26" w:rsidRPr="001B7BA6" w:rsidRDefault="00CD3F26" w:rsidP="00CD3F26">
      <w:pPr>
        <w:ind w:left="0"/>
        <w:rPr>
          <w:rFonts w:cs="Arial"/>
          <w:lang w:val="ro-RO"/>
        </w:rPr>
      </w:pPr>
    </w:p>
    <w:p w:rsidR="00CD3F26" w:rsidRPr="001B7BA6" w:rsidRDefault="00CD3F26" w:rsidP="00CD3F26">
      <w:pPr>
        <w:ind w:left="0"/>
        <w:rPr>
          <w:rFonts w:cs="Arial"/>
          <w:lang w:val="ro-RO"/>
        </w:rPr>
      </w:pPr>
    </w:p>
    <w:p w:rsidR="00CD3F26" w:rsidRPr="001B7BA6" w:rsidRDefault="00CD3F26" w:rsidP="00CD3F26">
      <w:pPr>
        <w:ind w:left="0"/>
        <w:rPr>
          <w:rFonts w:cs="Arial"/>
          <w:lang w:val="ro-RO"/>
        </w:rPr>
      </w:pPr>
    </w:p>
    <w:p w:rsidR="00D0182A" w:rsidRPr="001B7BA6" w:rsidRDefault="00D0182A" w:rsidP="00CD3F26">
      <w:pPr>
        <w:ind w:left="0"/>
        <w:rPr>
          <w:rFonts w:cs="Arial"/>
          <w:lang w:val="ro-RO"/>
        </w:rPr>
      </w:pPr>
    </w:p>
    <w:p w:rsidR="002653E8" w:rsidRPr="001B7BA6" w:rsidRDefault="002653E8" w:rsidP="00CD3F26">
      <w:pPr>
        <w:ind w:left="0"/>
        <w:rPr>
          <w:rFonts w:cs="Arial"/>
          <w:lang w:val="ro-RO"/>
        </w:rPr>
      </w:pPr>
    </w:p>
    <w:p w:rsidR="00E80A27" w:rsidRPr="001B7BA6" w:rsidRDefault="00E80A27" w:rsidP="00CD3F26">
      <w:pPr>
        <w:ind w:left="0"/>
        <w:jc w:val="left"/>
        <w:rPr>
          <w:lang w:val="ro-RO"/>
        </w:rPr>
      </w:pPr>
      <w:r w:rsidRPr="001B7BA6">
        <w:rPr>
          <w:lang w:val="ro-RO"/>
        </w:rPr>
        <w:t xml:space="preserve">Nr. </w:t>
      </w:r>
      <w:r w:rsidR="00090EA3" w:rsidRPr="001B7BA6">
        <w:rPr>
          <w:lang w:val="ro-RO"/>
        </w:rPr>
        <w:t>_________</w:t>
      </w:r>
      <w:r w:rsidRPr="001B7BA6">
        <w:rPr>
          <w:lang w:val="ro-RO"/>
        </w:rPr>
        <w:t>/</w:t>
      </w:r>
      <w:r w:rsidR="00090EA3" w:rsidRPr="001B7BA6">
        <w:rPr>
          <w:lang w:val="ro-RO"/>
        </w:rPr>
        <w:t>C</w:t>
      </w:r>
      <w:r w:rsidRPr="001B7BA6">
        <w:rPr>
          <w:lang w:val="ro-RO"/>
        </w:rPr>
        <w:t>/</w:t>
      </w:r>
      <w:r w:rsidR="00090EA3" w:rsidRPr="001B7BA6">
        <w:rPr>
          <w:lang w:val="ro-RO"/>
        </w:rPr>
        <w:t>________</w:t>
      </w:r>
      <w:r w:rsidRPr="001B7BA6">
        <w:rPr>
          <w:lang w:val="ro-RO"/>
        </w:rPr>
        <w:t>/</w:t>
      </w:r>
      <w:r w:rsidR="00090EA3" w:rsidRPr="001B7BA6">
        <w:rPr>
          <w:lang w:val="ro-RO"/>
        </w:rPr>
        <w:t>_________</w:t>
      </w:r>
    </w:p>
    <w:p w:rsidR="00E06A2C" w:rsidRPr="001B7BA6" w:rsidRDefault="0064218B" w:rsidP="00CD3F26">
      <w:pPr>
        <w:ind w:left="0"/>
        <w:rPr>
          <w:rFonts w:cs="Arial"/>
          <w:lang w:val="ro-RO"/>
        </w:rPr>
      </w:pPr>
      <w:r w:rsidRPr="001B7BA6">
        <w:rPr>
          <w:rFonts w:cs="Arial"/>
          <w:lang w:val="ro-RO"/>
        </w:rPr>
        <w:t>Prezentul ordin a fost întocmit în</w:t>
      </w:r>
      <w:r w:rsidR="00090EA3" w:rsidRPr="001B7BA6">
        <w:rPr>
          <w:rFonts w:cs="Arial"/>
          <w:lang w:val="ro-RO"/>
        </w:rPr>
        <w:t xml:space="preserve"> _</w:t>
      </w:r>
      <w:r w:rsidRPr="001B7BA6">
        <w:rPr>
          <w:rFonts w:cs="Arial"/>
          <w:lang w:val="ro-RO"/>
        </w:rPr>
        <w:t xml:space="preserve"> exemplare</w:t>
      </w:r>
    </w:p>
    <w:p w:rsidR="00327FF6" w:rsidRPr="001B7BA6" w:rsidRDefault="00327FF6" w:rsidP="00CD3F26">
      <w:pPr>
        <w:ind w:left="0"/>
        <w:rPr>
          <w:rFonts w:cs="Arial"/>
          <w:lang w:val="ro-RO"/>
        </w:rPr>
        <w:sectPr w:rsidR="00327FF6" w:rsidRPr="001B7BA6" w:rsidSect="005848A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418" w:right="567" w:bottom="1418" w:left="2268" w:header="567" w:footer="340" w:gutter="0"/>
          <w:pgNumType w:start="1"/>
          <w:cols w:space="708"/>
          <w:titlePg/>
          <w:docGrid w:linePitch="360"/>
        </w:sectPr>
      </w:pPr>
    </w:p>
    <w:p w:rsidR="00871FC1" w:rsidRPr="001B7BA6" w:rsidRDefault="00871FC1" w:rsidP="00CD3F26">
      <w:pPr>
        <w:ind w:left="0"/>
        <w:jc w:val="right"/>
        <w:rPr>
          <w:rFonts w:cs="Arial"/>
          <w:lang w:val="ro-RO"/>
        </w:rPr>
      </w:pPr>
      <w:r w:rsidRPr="001B7BA6">
        <w:rPr>
          <w:rFonts w:cs="Arial"/>
          <w:lang w:val="ro-RO"/>
        </w:rPr>
        <w:lastRenderedPageBreak/>
        <w:t xml:space="preserve">Exemplar nr. </w:t>
      </w:r>
      <w:r w:rsidR="00090EA3" w:rsidRPr="001B7BA6">
        <w:rPr>
          <w:rFonts w:cs="Arial"/>
          <w:lang w:val="ro-RO"/>
        </w:rPr>
        <w:t>2</w:t>
      </w:r>
    </w:p>
    <w:p w:rsidR="007B625E" w:rsidRPr="001B7BA6" w:rsidRDefault="007B625E" w:rsidP="001B7BA6">
      <w:pPr>
        <w:ind w:left="0"/>
        <w:jc w:val="center"/>
        <w:rPr>
          <w:rFonts w:cs="Arial"/>
          <w:lang w:val="ro-RO"/>
        </w:rPr>
      </w:pPr>
    </w:p>
    <w:p w:rsidR="001B7BA6" w:rsidRPr="001B7BA6" w:rsidRDefault="001B7BA6" w:rsidP="001B7BA6">
      <w:pPr>
        <w:ind w:left="0"/>
        <w:jc w:val="center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>O R D I N  Nr. _____</w:t>
      </w:r>
    </w:p>
    <w:p w:rsidR="001B7BA6" w:rsidRPr="001B7BA6" w:rsidRDefault="001B7BA6" w:rsidP="001B7BA6">
      <w:pPr>
        <w:ind w:left="0"/>
        <w:jc w:val="center"/>
        <w:rPr>
          <w:b/>
          <w:lang w:val="ro-RO"/>
        </w:rPr>
      </w:pPr>
      <w:r w:rsidRPr="001B7BA6">
        <w:rPr>
          <w:b/>
          <w:lang w:val="ro-RO"/>
        </w:rPr>
        <w:t xml:space="preserve">pentru aprobarea Procedurii de înregistrare on-line și de aprobare </w:t>
      </w:r>
    </w:p>
    <w:p w:rsidR="001B7BA6" w:rsidRPr="001B7BA6" w:rsidRDefault="001B7BA6" w:rsidP="001B7BA6">
      <w:pPr>
        <w:ind w:left="0"/>
        <w:jc w:val="center"/>
        <w:rPr>
          <w:rFonts w:cs="Arial"/>
          <w:b/>
          <w:lang w:val="ro-RO"/>
        </w:rPr>
      </w:pPr>
      <w:r w:rsidRPr="001B7BA6">
        <w:rPr>
          <w:b/>
          <w:lang w:val="ro-RO"/>
        </w:rPr>
        <w:t>a tarifelor pentru</w:t>
      </w:r>
      <w:r w:rsidRPr="001B7BA6">
        <w:rPr>
          <w:lang w:val="ro-RO"/>
        </w:rPr>
        <w:t xml:space="preserve"> </w:t>
      </w:r>
      <w:r w:rsidRPr="001B7BA6">
        <w:rPr>
          <w:b/>
          <w:lang w:val="ro-RO"/>
        </w:rPr>
        <w:t>accesul la Registrul beneficiarilor reali ținut de Oficiul Național al Registrului Comerțului</w:t>
      </w:r>
    </w:p>
    <w:p w:rsidR="001B7BA6" w:rsidRPr="001B7BA6" w:rsidRDefault="001B7BA6" w:rsidP="001B7BA6">
      <w:pPr>
        <w:ind w:left="0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 xml:space="preserve">Ministrul Justiției, </w:t>
      </w:r>
    </w:p>
    <w:p w:rsidR="001B7BA6" w:rsidRPr="001B7BA6" w:rsidRDefault="001B7BA6" w:rsidP="001B7BA6">
      <w:pPr>
        <w:spacing w:after="200"/>
        <w:ind w:left="0"/>
        <w:rPr>
          <w:lang w:val="ro-RO"/>
        </w:rPr>
      </w:pPr>
      <w:r w:rsidRPr="001B7BA6">
        <w:rPr>
          <w:rFonts w:cs="Arial"/>
          <w:lang w:val="ro-RO"/>
        </w:rPr>
        <w:t>în temeiul</w:t>
      </w:r>
      <w:r w:rsidRPr="001B7BA6">
        <w:rPr>
          <w:rFonts w:cs="Arial"/>
          <w:b/>
          <w:lang w:val="ro-RO"/>
        </w:rPr>
        <w:t xml:space="preserve"> </w:t>
      </w:r>
      <w:r w:rsidRPr="001B7BA6">
        <w:rPr>
          <w:lang w:val="ro-RO"/>
        </w:rPr>
        <w:t>dispozițiilor art. 19 alin. (8</w:t>
      </w:r>
      <w:r w:rsidRPr="001B7BA6">
        <w:rPr>
          <w:vertAlign w:val="superscript"/>
          <w:lang w:val="ro-RO"/>
        </w:rPr>
        <w:t>2</w:t>
      </w:r>
      <w:r w:rsidRPr="001B7BA6">
        <w:rPr>
          <w:lang w:val="ro-RO"/>
        </w:rPr>
        <w:t>) din Legea nr. 129/2019 pentru prevenirea şi combaterea spălării banilor şi finanţării terorismului, precum şi pentru modificarea şi completarea unor acte normative, cu modificările şi completările ulterioare,</w:t>
      </w:r>
    </w:p>
    <w:p w:rsidR="001B7BA6" w:rsidRPr="001B7BA6" w:rsidRDefault="001B7BA6" w:rsidP="001B7BA6">
      <w:pPr>
        <w:spacing w:after="200"/>
        <w:ind w:left="0"/>
        <w:rPr>
          <w:lang w:val="ro-RO"/>
        </w:rPr>
      </w:pPr>
      <w:r w:rsidRPr="001B7BA6">
        <w:rPr>
          <w:rFonts w:cs="Arial"/>
          <w:lang w:val="ro-RO"/>
        </w:rPr>
        <w:t>în conformitate cu</w:t>
      </w:r>
      <w:r w:rsidRPr="001B7BA6">
        <w:rPr>
          <w:rFonts w:cs="Arial"/>
          <w:b/>
          <w:lang w:val="ro-RO"/>
        </w:rPr>
        <w:t xml:space="preserve"> </w:t>
      </w:r>
      <w:r w:rsidRPr="001B7BA6">
        <w:rPr>
          <w:lang w:val="ro-RO"/>
        </w:rPr>
        <w:t>dispozițiile art. VIII alin. (7) din Ordonanța de urgență a Guvernului nr. 111/2020 privind modificarea şi completarea Legii nr. 129/2019 pentru prevenirea şi combaterea spălării banilor şi finanțării terorismului, precum şi pentru modificarea şi completarea unor acte normative, pentru completarea art. 218 din Ordonanța de urgență a Guvernului nr. 99/2006 privind instituţiile de credit şi adecvarea capitalului, pentru modificarea şi completarea Legii nr. 207/2015 privind Codul de procedură fiscală, precum şi pentru completarea art. 12 alin.</w:t>
      </w:r>
      <w:r w:rsidR="00A94CCE">
        <w:rPr>
          <w:lang w:val="ro-RO"/>
        </w:rPr>
        <w:t xml:space="preserve"> </w:t>
      </w:r>
      <w:r w:rsidRPr="001B7BA6">
        <w:rPr>
          <w:lang w:val="ro-RO"/>
        </w:rPr>
        <w:t>(5) din Legea nr. 237/2015 privind autorizarea şi supravegherea activității de asigurare și reasigurare,</w:t>
      </w:r>
    </w:p>
    <w:p w:rsidR="001B7BA6" w:rsidRPr="001B7BA6" w:rsidRDefault="001B7BA6" w:rsidP="001B7BA6">
      <w:pPr>
        <w:ind w:left="60"/>
        <w:rPr>
          <w:lang w:val="ro-RO"/>
        </w:rPr>
      </w:pPr>
      <w:r w:rsidRPr="001B7BA6">
        <w:rPr>
          <w:lang w:val="ro-RO"/>
        </w:rPr>
        <w:t>Având în vedere dispozițiile art. 13 și art. 36 din Hotărârea Guvernului nr. 652/2009 privind organizarea şi funcționarea Ministerului Justiției, publicată în Monitorul Oficial nr. 443 din 29 iunie 2009, cu modificările şi completările ulterioare,</w:t>
      </w:r>
    </w:p>
    <w:p w:rsidR="001B7BA6" w:rsidRPr="001B7BA6" w:rsidRDefault="001B7BA6" w:rsidP="001B7BA6">
      <w:pPr>
        <w:ind w:left="0"/>
        <w:rPr>
          <w:rFonts w:cs="Arial"/>
          <w:b/>
          <w:lang w:val="ro-RO"/>
        </w:rPr>
      </w:pPr>
      <w:r w:rsidRPr="001B7BA6">
        <w:rPr>
          <w:rFonts w:cs="Arial"/>
          <w:b/>
          <w:lang w:val="ro-RO"/>
        </w:rPr>
        <w:t xml:space="preserve">Emite următorul </w:t>
      </w:r>
    </w:p>
    <w:p w:rsidR="001B7BA6" w:rsidRPr="001B7BA6" w:rsidRDefault="001B7BA6" w:rsidP="001B7BA6">
      <w:pPr>
        <w:pStyle w:val="Heading1"/>
        <w:spacing w:before="0" w:after="120"/>
        <w:ind w:left="0"/>
        <w:jc w:val="center"/>
        <w:rPr>
          <w:rFonts w:ascii="Trebuchet MS" w:hAnsi="Trebuchet MS" w:cs="Arial"/>
          <w:sz w:val="22"/>
          <w:szCs w:val="22"/>
          <w:lang w:val="ro-RO"/>
        </w:rPr>
      </w:pPr>
      <w:r w:rsidRPr="001B7BA6">
        <w:rPr>
          <w:rFonts w:ascii="Trebuchet MS" w:hAnsi="Trebuchet MS" w:cs="Arial"/>
          <w:sz w:val="22"/>
          <w:szCs w:val="22"/>
          <w:lang w:val="ro-RO"/>
        </w:rPr>
        <w:t>O R D I N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1. - Se aprobă Procedura de înregistrare on-line pentru accesul la Registrul beneficiarilor reali ținut de Oficiul Naţional al Registrului Comerţului, prevăzută la anexa 1 care face parte integrantă din prezentul ordin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2 - Procedura aprobată prin prezentul ordin se aplică pentru asigurarea accesului la datele înregistrate în Registrul beneficiarilor reali a persoanelor fizice şi juridice îndreptățite conform art. 19 alin.(8) lit. c) din Legea nr. 129/2019 pentru prevenire şi combaterea spălării banilor şi finanțării terorismului, precum şi pentru modificarea şi completarea unor acte normative, cu modificările şi completările ulterioare, denumită în continuare Legea nr.129/2019.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 </w:t>
      </w:r>
      <w:r>
        <w:rPr>
          <w:lang w:val="ro-RO"/>
        </w:rPr>
        <w:t>3</w:t>
      </w:r>
      <w:r w:rsidRPr="001B7BA6">
        <w:rPr>
          <w:lang w:val="ro-RO"/>
        </w:rPr>
        <w:t xml:space="preserve">. - Procedura aprobată prin prezentul ordin se aplică și autorităților care au competență de supraveghere și control, organelor judiciare, </w:t>
      </w:r>
      <w:r w:rsidRPr="001B7BA6">
        <w:rPr>
          <w:rFonts w:eastAsia="Times New Roman"/>
          <w:lang w:val="ro-RO"/>
        </w:rPr>
        <w:t xml:space="preserve">Oficiului </w:t>
      </w:r>
      <w:r w:rsidRPr="001B7BA6">
        <w:rPr>
          <w:rFonts w:cstheme="minorHAnsi"/>
          <w:lang w:val="ro-RO"/>
        </w:rPr>
        <w:t xml:space="preserve">Național pentru Prevenirea și Combaterea Spălării Banilor, denumit în continuare ONPCSB, și entităților raportoare potrivit art. 19 </w:t>
      </w:r>
      <w:r w:rsidRPr="001B7BA6">
        <w:rPr>
          <w:lang w:val="ro-RO"/>
        </w:rPr>
        <w:t>alin. (8) din Legea nr. 129/2019,</w:t>
      </w:r>
      <w:r w:rsidRPr="001B7BA6">
        <w:rPr>
          <w:rFonts w:cstheme="minorHAnsi"/>
          <w:lang w:val="ro-RO"/>
        </w:rPr>
        <w:t xml:space="preserve"> </w:t>
      </w:r>
      <w:r w:rsidRPr="001B7BA6">
        <w:rPr>
          <w:lang w:val="ro-RO"/>
        </w:rPr>
        <w:t xml:space="preserve"> dacă optează pentru asigurarea acestei modalități de acces la Registrul beneficiarilor reali.  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lastRenderedPageBreak/>
        <w:t xml:space="preserve">Art.3 - Se aprobă tarifele pentru accesul  persoanelor fizice și juridice prevăzute la art. </w:t>
      </w:r>
      <w:r w:rsidRPr="001B7BA6">
        <w:rPr>
          <w:rFonts w:cstheme="minorHAnsi"/>
          <w:lang w:val="ro-RO"/>
        </w:rPr>
        <w:t xml:space="preserve">19 </w:t>
      </w:r>
      <w:r w:rsidRPr="001B7BA6">
        <w:rPr>
          <w:lang w:val="ro-RO"/>
        </w:rPr>
        <w:t>alin. (8) lit. c) din Legea nr. 129/2019 la Registrul beneficiarilor reali, prevăzute în anexa nr. 2, care face parte integrantă din prezentul ordin.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Art.4. - Tarifele pentru accesul la Registrul beneficiarilor reali se achită exclusiv on-line, prin portalul de servicii on-line al Oficiului Naţional al Registrului Comerţului, denumit în continuare ONRC. </w:t>
      </w:r>
    </w:p>
    <w:p w:rsid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 xml:space="preserve">Art.5. - Până la data de 1 noiembrie 2020, ONRC va operaționaliza accesul on-line la informațiile înregistrate în Registrul beneficiarilor reali. </w:t>
      </w:r>
    </w:p>
    <w:p w:rsid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Art.6. - ONRC va lua măsurile necesare în vederea ducerii la îndeplinire a prevederilor prezentului ordin.</w:t>
      </w:r>
    </w:p>
    <w:p w:rsidR="001B7BA6" w:rsidRPr="001B7BA6" w:rsidRDefault="001B7BA6" w:rsidP="001B7BA6">
      <w:pPr>
        <w:spacing w:before="240"/>
        <w:ind w:left="0"/>
        <w:rPr>
          <w:lang w:val="ro-RO"/>
        </w:rPr>
      </w:pPr>
      <w:r w:rsidRPr="001B7BA6">
        <w:rPr>
          <w:lang w:val="ro-RO"/>
        </w:rPr>
        <w:t>Art. 7. - Prezentul ordin se publică în Monitorul Oficial al României, Partea I.</w:t>
      </w:r>
    </w:p>
    <w:p w:rsidR="001B7BA6" w:rsidRPr="001B7BA6" w:rsidRDefault="001B7BA6" w:rsidP="001B7BA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 w:firstLine="700"/>
        <w:jc w:val="both"/>
        <w:rPr>
          <w:rFonts w:ascii="Trebuchet MS" w:hAnsi="Trebuchet MS" w:cs="Arial"/>
          <w:bCs/>
          <w:sz w:val="22"/>
          <w:szCs w:val="22"/>
          <w:lang w:val="ro-RO"/>
        </w:rPr>
      </w:pP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ab/>
      </w:r>
    </w:p>
    <w:p w:rsidR="001B7BA6" w:rsidRPr="001B7BA6" w:rsidRDefault="001B7BA6" w:rsidP="001B7BA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  <w:r w:rsidRPr="001B7BA6">
        <w:rPr>
          <w:rFonts w:ascii="Trebuchet MS" w:hAnsi="Trebuchet MS" w:cs="Arial"/>
          <w:b/>
          <w:bCs/>
          <w:sz w:val="22"/>
          <w:szCs w:val="22"/>
          <w:lang w:val="ro-RO"/>
        </w:rPr>
        <w:t>Bucureşti                                                                       Data:</w:t>
      </w:r>
      <w:r w:rsidRPr="001B7BA6">
        <w:rPr>
          <w:rFonts w:ascii="Trebuchet MS" w:hAnsi="Trebuchet MS" w:cs="Arial"/>
          <w:bCs/>
          <w:sz w:val="22"/>
          <w:szCs w:val="22"/>
          <w:lang w:val="ro-RO"/>
        </w:rPr>
        <w:t xml:space="preserve"> </w:t>
      </w:r>
    </w:p>
    <w:p w:rsidR="001B7BA6" w:rsidRPr="001B7BA6" w:rsidRDefault="001B7BA6" w:rsidP="001B7BA6">
      <w:pPr>
        <w:pStyle w:val="BodyTextIndent2"/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left="0"/>
        <w:rPr>
          <w:rFonts w:ascii="Trebuchet MS" w:hAnsi="Trebuchet MS" w:cs="Arial"/>
          <w:bCs/>
          <w:sz w:val="22"/>
          <w:szCs w:val="22"/>
          <w:lang w:val="ro-RO"/>
        </w:rPr>
      </w:pPr>
    </w:p>
    <w:p w:rsidR="001B7BA6" w:rsidRPr="001B7BA6" w:rsidRDefault="001B7BA6" w:rsidP="001B7BA6">
      <w:pPr>
        <w:ind w:left="0"/>
        <w:jc w:val="center"/>
        <w:rPr>
          <w:rFonts w:cs="Arial"/>
          <w:lang w:val="ro-RO"/>
        </w:rPr>
      </w:pPr>
      <w:r w:rsidRPr="001B7BA6">
        <w:rPr>
          <w:rFonts w:cs="Arial"/>
          <w:lang w:val="ro-RO"/>
        </w:rPr>
        <w:t>Ministrul Justiţiei</w:t>
      </w:r>
    </w:p>
    <w:p w:rsidR="001B7BA6" w:rsidRPr="001B7BA6" w:rsidRDefault="001B7BA6" w:rsidP="001B7BA6">
      <w:pPr>
        <w:ind w:left="0"/>
        <w:jc w:val="center"/>
        <w:rPr>
          <w:lang w:val="ro-RO"/>
        </w:rPr>
      </w:pPr>
    </w:p>
    <w:p w:rsidR="001B7BA6" w:rsidRPr="001B7BA6" w:rsidRDefault="001B7BA6" w:rsidP="001B7BA6">
      <w:pPr>
        <w:ind w:left="0"/>
        <w:jc w:val="center"/>
        <w:rPr>
          <w:rFonts w:cs="Arial"/>
          <w:lang w:val="ro-RO"/>
        </w:rPr>
      </w:pPr>
      <w:r w:rsidRPr="001B7BA6">
        <w:rPr>
          <w:rFonts w:cs="Arial"/>
          <w:lang w:val="ro-RO"/>
        </w:rPr>
        <w:t>Cătălin-Marian PREDOIU</w:t>
      </w:r>
    </w:p>
    <w:p w:rsidR="00044F85" w:rsidRPr="001B7BA6" w:rsidRDefault="00044F85" w:rsidP="00CD3F26">
      <w:pPr>
        <w:ind w:left="0"/>
        <w:rPr>
          <w:rFonts w:cs="Arial"/>
          <w:lang w:val="ro-RO"/>
        </w:rPr>
      </w:pPr>
    </w:p>
    <w:p w:rsidR="003E7C85" w:rsidRDefault="003E7C85" w:rsidP="00CD3F26">
      <w:pPr>
        <w:ind w:left="0"/>
        <w:rPr>
          <w:rFonts w:cs="Arial"/>
          <w:lang w:val="ro-RO"/>
        </w:rPr>
      </w:pPr>
    </w:p>
    <w:p w:rsidR="0028714A" w:rsidRPr="001B7BA6" w:rsidRDefault="003E7C85" w:rsidP="00CD3F26">
      <w:pPr>
        <w:ind w:left="0"/>
        <w:rPr>
          <w:rFonts w:cs="Arial"/>
          <w:lang w:val="ro-RO"/>
        </w:rPr>
      </w:pPr>
      <w:r>
        <w:rPr>
          <w:rFonts w:cs="Arial"/>
          <w:lang w:val="ro-RO"/>
        </w:rPr>
        <w:t>.....</w:t>
      </w:r>
      <w:bookmarkStart w:id="1" w:name="_GoBack"/>
      <w:bookmarkEnd w:id="1"/>
      <w:r w:rsidR="00044F85" w:rsidRPr="001B7BA6">
        <w:rPr>
          <w:rFonts w:cs="Arial"/>
          <w:lang w:val="ro-RO"/>
        </w:rPr>
        <w:t xml:space="preserve"> </w:t>
      </w:r>
    </w:p>
    <w:p w:rsidR="00E80A27" w:rsidRPr="001B7BA6" w:rsidRDefault="00E80A27" w:rsidP="00CD3F26">
      <w:pPr>
        <w:ind w:left="0"/>
        <w:rPr>
          <w:lang w:val="ro-RO"/>
        </w:rPr>
      </w:pPr>
      <w:r w:rsidRPr="001B7BA6">
        <w:rPr>
          <w:lang w:val="ro-RO"/>
        </w:rPr>
        <w:t>Nr.</w:t>
      </w:r>
      <w:r w:rsidR="00044F85" w:rsidRPr="001B7BA6">
        <w:rPr>
          <w:lang w:val="ro-RO"/>
        </w:rPr>
        <w:t>________</w:t>
      </w:r>
      <w:r w:rsidRPr="001B7BA6">
        <w:rPr>
          <w:lang w:val="ro-RO"/>
        </w:rPr>
        <w:t>/</w:t>
      </w:r>
      <w:r w:rsidR="00044F85" w:rsidRPr="001B7BA6">
        <w:rPr>
          <w:lang w:val="ro-RO"/>
        </w:rPr>
        <w:t>______</w:t>
      </w:r>
      <w:r w:rsidRPr="001B7BA6">
        <w:rPr>
          <w:lang w:val="ro-RO"/>
        </w:rPr>
        <w:t>/</w:t>
      </w:r>
      <w:r w:rsidR="00044F85" w:rsidRPr="001B7BA6">
        <w:rPr>
          <w:lang w:val="ro-RO"/>
        </w:rPr>
        <w:t>______</w:t>
      </w:r>
      <w:r w:rsidRPr="001B7BA6">
        <w:rPr>
          <w:lang w:val="ro-RO"/>
        </w:rPr>
        <w:t>/</w:t>
      </w:r>
      <w:r w:rsidR="00044F85" w:rsidRPr="001B7BA6">
        <w:rPr>
          <w:lang w:val="ro-RO"/>
        </w:rPr>
        <w:t>_____-</w:t>
      </w:r>
    </w:p>
    <w:p w:rsidR="00101A43" w:rsidRPr="001B7BA6" w:rsidRDefault="00871FC1" w:rsidP="00CD3F26">
      <w:pPr>
        <w:ind w:left="0"/>
        <w:rPr>
          <w:rFonts w:cs="Arial"/>
          <w:lang w:val="ro-RO"/>
        </w:rPr>
      </w:pPr>
      <w:r w:rsidRPr="001B7BA6">
        <w:rPr>
          <w:rFonts w:cs="Arial"/>
          <w:lang w:val="ro-RO"/>
        </w:rPr>
        <w:t xml:space="preserve">Prezentul ordin a fost întocmit în </w:t>
      </w:r>
      <w:r w:rsidR="00195D8E" w:rsidRPr="001B7BA6">
        <w:rPr>
          <w:rFonts w:cs="Arial"/>
          <w:lang w:val="ro-RO"/>
        </w:rPr>
        <w:t>2</w:t>
      </w:r>
      <w:r w:rsidR="004C1753" w:rsidRPr="001B7BA6">
        <w:rPr>
          <w:rFonts w:cs="Arial"/>
          <w:lang w:val="ro-RO"/>
        </w:rPr>
        <w:t xml:space="preserve"> exempl</w:t>
      </w:r>
      <w:r w:rsidR="00101A43" w:rsidRPr="001B7BA6">
        <w:rPr>
          <w:rFonts w:cs="Arial"/>
          <w:lang w:val="ro-RO"/>
        </w:rPr>
        <w:t>are</w:t>
      </w:r>
    </w:p>
    <w:sectPr w:rsidR="00101A43" w:rsidRPr="001B7BA6" w:rsidSect="005848A2">
      <w:headerReference w:type="default" r:id="rId12"/>
      <w:headerReference w:type="first" r:id="rId13"/>
      <w:footerReference w:type="first" r:id="rId14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1A" w:rsidRDefault="00A31D1A" w:rsidP="00CD5B3B">
      <w:r>
        <w:separator/>
      </w:r>
    </w:p>
  </w:endnote>
  <w:endnote w:type="continuationSeparator" w:id="0">
    <w:p w:rsidR="00A31D1A" w:rsidRDefault="00A31D1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36CF6" w:rsidRPr="00405B2D" w:rsidTr="00405B2D">
      <w:tc>
        <w:tcPr>
          <w:tcW w:w="1566" w:type="dxa"/>
          <w:shd w:val="clear" w:color="auto" w:fill="auto"/>
        </w:tcPr>
        <w:p w:rsidR="00260CC2" w:rsidRDefault="00260CC2" w:rsidP="00260CC2">
          <w:pPr>
            <w:ind w:left="0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8" name="I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3" name="I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36CF6" w:rsidRPr="00036CF6" w:rsidRDefault="00036CF6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36CF6" w:rsidRPr="00036CF6" w:rsidRDefault="00A31D1A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3" w:history="1">
            <w:r w:rsidR="00036CF6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</w:tc>
      <w:tc>
        <w:tcPr>
          <w:tcW w:w="3363" w:type="dxa"/>
          <w:shd w:val="clear" w:color="auto" w:fill="auto"/>
          <w:vAlign w:val="center"/>
        </w:tcPr>
        <w:p w:rsidR="00036CF6" w:rsidRPr="00452D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3E7C85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036CF6" w:rsidRPr="00452D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36CF6" w:rsidRPr="00452D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>COD: FS-01-0</w:t>
          </w:r>
          <w:r w:rsidR="004C1753">
            <w:rPr>
              <w:sz w:val="14"/>
              <w:szCs w:val="14"/>
              <w:lang w:val="es-ES"/>
            </w:rPr>
            <w:t>5</w:t>
          </w:r>
          <w:r w:rsidRPr="00452DF6">
            <w:rPr>
              <w:sz w:val="14"/>
              <w:szCs w:val="14"/>
              <w:lang w:val="es-ES"/>
            </w:rPr>
            <w:t>-ver.</w:t>
          </w:r>
          <w:r w:rsidR="00327FF6">
            <w:rPr>
              <w:sz w:val="14"/>
              <w:szCs w:val="14"/>
              <w:lang w:val="es-ES"/>
            </w:rPr>
            <w:t>5</w:t>
          </w:r>
        </w:p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:rsidR="009F7FDF" w:rsidRPr="00E06A2C" w:rsidRDefault="009F7FDF" w:rsidP="004C1753">
    <w:pPr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36CF6" w:rsidRPr="00405B2D" w:rsidTr="002653E8">
      <w:tc>
        <w:tcPr>
          <w:tcW w:w="1566" w:type="dxa"/>
          <w:shd w:val="clear" w:color="auto" w:fill="auto"/>
        </w:tcPr>
        <w:p w:rsidR="00260CC2" w:rsidRDefault="00260CC2" w:rsidP="00260CC2">
          <w:pPr>
            <w:ind w:left="0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1" name="I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36CF6" w:rsidRPr="00036CF6" w:rsidRDefault="00036CF6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36CF6" w:rsidRPr="00036CF6" w:rsidRDefault="00A31D1A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036CF6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036CF6" w:rsidRPr="00452D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3E7C85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036CF6" w:rsidRPr="00452D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36CF6" w:rsidRPr="00036CF6" w:rsidRDefault="00036CF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 w:rsidRPr="00452DF6">
            <w:rPr>
              <w:sz w:val="14"/>
              <w:szCs w:val="14"/>
              <w:lang w:val="es-ES"/>
            </w:rPr>
            <w:t>COD: FS-01-</w:t>
          </w:r>
          <w:r w:rsidR="00871FC1" w:rsidRPr="00452DF6">
            <w:rPr>
              <w:sz w:val="14"/>
              <w:szCs w:val="14"/>
              <w:lang w:val="es-ES"/>
            </w:rPr>
            <w:t>05</w:t>
          </w:r>
          <w:r w:rsidRPr="00452DF6">
            <w:rPr>
              <w:sz w:val="14"/>
              <w:szCs w:val="14"/>
              <w:lang w:val="es-ES"/>
            </w:rPr>
            <w:t>-ver.</w:t>
          </w:r>
          <w:r w:rsidR="00327FF6">
            <w:rPr>
              <w:sz w:val="14"/>
              <w:szCs w:val="14"/>
              <w:lang w:val="es-ES"/>
            </w:rPr>
            <w:t>5</w:t>
          </w:r>
        </w:p>
      </w:tc>
    </w:tr>
  </w:tbl>
  <w:p w:rsidR="009F7FDF" w:rsidRPr="005848A2" w:rsidRDefault="009F7FDF" w:rsidP="0064218B">
    <w:pPr>
      <w:ind w:left="0"/>
      <w:rPr>
        <w:sz w:val="2"/>
        <w:szCs w:val="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871FC1" w:rsidRPr="00405B2D" w:rsidTr="002653E8">
      <w:tc>
        <w:tcPr>
          <w:tcW w:w="1566" w:type="dxa"/>
          <w:shd w:val="clear" w:color="auto" w:fill="auto"/>
        </w:tcPr>
        <w:p w:rsidR="00260CC2" w:rsidRDefault="00260CC2" w:rsidP="00260CC2">
          <w:pPr>
            <w:ind w:left="33"/>
          </w:pPr>
          <w:r>
            <w:rPr>
              <w:noProof/>
              <w:lang w:val="ro-RO" w:eastAsia="ro-RO"/>
            </w:rPr>
            <w:drawing>
              <wp:inline distT="0" distB="0" distL="0" distR="0" wp14:anchorId="7835C069" wp14:editId="41236F4F">
                <wp:extent cx="314325" cy="314325"/>
                <wp:effectExtent l="0" t="0" r="9525" b="9525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0480E">
            <w:rPr>
              <w:noProof/>
              <w:lang w:val="ro-RO" w:eastAsia="ro-RO"/>
            </w:rPr>
            <w:drawing>
              <wp:inline distT="0" distB="0" distL="0" distR="0" wp14:anchorId="239A6D69" wp14:editId="766411FC">
                <wp:extent cx="311150" cy="311150"/>
                <wp:effectExtent l="0" t="0" r="0" b="0"/>
                <wp:docPr id="12" name="I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871FC1" w:rsidRPr="00036CF6" w:rsidRDefault="00871FC1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871FC1" w:rsidRPr="00036CF6" w:rsidRDefault="00A31D1A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871FC1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871FC1" w:rsidRPr="00036C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</w:p>
      </w:tc>
      <w:tc>
        <w:tcPr>
          <w:tcW w:w="3363" w:type="dxa"/>
          <w:shd w:val="clear" w:color="auto" w:fill="auto"/>
        </w:tcPr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80480E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3E7C85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</w:p>
        <w:p w:rsidR="00871FC1" w:rsidRPr="00452DF6" w:rsidRDefault="00871FC1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871FC1" w:rsidRPr="00036CF6" w:rsidRDefault="00327FF6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FS-01-05-ver.5</w:t>
          </w:r>
        </w:p>
      </w:tc>
    </w:tr>
  </w:tbl>
  <w:p w:rsidR="00871FC1" w:rsidRPr="005848A2" w:rsidRDefault="00871FC1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1A" w:rsidRDefault="00A31D1A" w:rsidP="00E06A2C">
      <w:pPr>
        <w:spacing w:after="0"/>
        <w:ind w:left="0"/>
      </w:pPr>
      <w:r>
        <w:separator/>
      </w:r>
    </w:p>
  </w:footnote>
  <w:footnote w:type="continuationSeparator" w:id="0">
    <w:p w:rsidR="00A31D1A" w:rsidRDefault="00A31D1A" w:rsidP="00E06A2C">
      <w:pPr>
        <w:ind w:left="0"/>
      </w:pPr>
      <w:r>
        <w:continuationSeparator/>
      </w:r>
    </w:p>
  </w:footnote>
  <w:footnote w:type="continuationNotice" w:id="1">
    <w:p w:rsidR="00A31D1A" w:rsidRDefault="00A31D1A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30E" w:rsidRDefault="0094530E" w:rsidP="008A4458">
    <w:pPr>
      <w:pStyle w:val="Header"/>
      <w:ind w:left="0"/>
    </w:pPr>
  </w:p>
  <w:p w:rsidR="00E80D5E" w:rsidRPr="00CD5B3B" w:rsidRDefault="00E80D5E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1EEF8F37" wp14:editId="6755F503">
          <wp:extent cx="1959610" cy="201930"/>
          <wp:effectExtent l="0" t="0" r="2540" b="7620"/>
          <wp:docPr id="20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1"/>
      <w:tblW w:w="11341" w:type="dxa"/>
      <w:tblInd w:w="-1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4"/>
      <w:gridCol w:w="4837"/>
    </w:tblGrid>
    <w:tr w:rsidR="00523C70" w:rsidRPr="00523C70" w:rsidTr="00093933">
      <w:tc>
        <w:tcPr>
          <w:tcW w:w="6504" w:type="dxa"/>
        </w:tcPr>
        <w:p w:rsidR="00523C70" w:rsidRPr="00523C70" w:rsidRDefault="00523C70" w:rsidP="00523C70">
          <w:pPr>
            <w:spacing w:before="120"/>
            <w:ind w:left="0"/>
            <w:rPr>
              <w:lang w:val="ro-RO"/>
            </w:rPr>
          </w:pPr>
          <w:r w:rsidRPr="00523C70">
            <w:rPr>
              <w:noProof/>
              <w:lang w:val="ro-RO" w:eastAsia="ro-RO"/>
            </w:rPr>
            <w:drawing>
              <wp:inline distT="0" distB="0" distL="0" distR="0" wp14:anchorId="2F1E0772" wp14:editId="2E1071A3">
                <wp:extent cx="2816860" cy="902335"/>
                <wp:effectExtent l="0" t="0" r="2540" b="0"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7" w:type="dxa"/>
        </w:tcPr>
        <w:p w:rsidR="00523C70" w:rsidRPr="00523C70" w:rsidRDefault="00523C70" w:rsidP="00B21F71">
          <w:pPr>
            <w:spacing w:before="120"/>
            <w:ind w:left="0" w:right="313"/>
            <w:jc w:val="right"/>
            <w:rPr>
              <w:lang w:val="ro-RO"/>
            </w:rPr>
          </w:pPr>
          <w:r w:rsidRPr="00523C70">
            <w:rPr>
              <w:rFonts w:ascii="Calibri" w:eastAsia="Times New Roman" w:hAnsi="Calibri"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6B362CE8" wp14:editId="1865B792">
                <wp:simplePos x="0" y="0"/>
                <wp:positionH relativeFrom="column">
                  <wp:posOffset>6106795</wp:posOffset>
                </wp:positionH>
                <wp:positionV relativeFrom="paragraph">
                  <wp:posOffset>424815</wp:posOffset>
                </wp:positionV>
                <wp:extent cx="1277620" cy="902970"/>
                <wp:effectExtent l="0" t="0" r="0" b="0"/>
                <wp:wrapNone/>
                <wp:docPr id="7" name="Imagine 7" descr="C:\Users\leonard.anghel\Desktop\logo_centenar_ROMANI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onard.anghel\Desktop\logo_centenar_ROMANI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6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80D5E" w:rsidRPr="005848A2" w:rsidRDefault="00405B2D" w:rsidP="00405B2D">
    <w:pPr>
      <w:pStyle w:val="Header"/>
      <w:tabs>
        <w:tab w:val="clear" w:pos="8640"/>
      </w:tabs>
      <w:spacing w:after="0"/>
      <w:ind w:left="-1701" w:right="-29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Default="00871FC1" w:rsidP="008A4458">
    <w:pPr>
      <w:pStyle w:val="Header"/>
      <w:ind w:left="0"/>
    </w:pPr>
  </w:p>
  <w:p w:rsidR="00871FC1" w:rsidRPr="00CD5B3B" w:rsidRDefault="00871FC1" w:rsidP="008A4458">
    <w:pPr>
      <w:pStyle w:val="Header"/>
      <w:ind w:left="0"/>
    </w:pPr>
    <w:r>
      <w:rPr>
        <w:noProof/>
        <w:lang w:val="ro-RO" w:eastAsia="ro-RO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FC1" w:rsidRPr="00405B2D" w:rsidRDefault="00405B2D" w:rsidP="00405B2D">
    <w:pPr>
      <w:pStyle w:val="Header"/>
      <w:tabs>
        <w:tab w:val="clear" w:pos="8640"/>
      </w:tabs>
      <w:ind w:left="-1701" w:right="-291"/>
    </w:pPr>
    <w:r>
      <w:rPr>
        <w:noProof/>
        <w:lang w:val="ro-RO" w:eastAsia="ro-RO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ro-RO"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003C5"/>
    <w:multiLevelType w:val="hybridMultilevel"/>
    <w:tmpl w:val="4F002B0A"/>
    <w:lvl w:ilvl="0" w:tplc="5FDA906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CD3"/>
    <w:rsid w:val="00013D7E"/>
    <w:rsid w:val="00023330"/>
    <w:rsid w:val="00036CF6"/>
    <w:rsid w:val="00044F85"/>
    <w:rsid w:val="00090EA3"/>
    <w:rsid w:val="000A06C2"/>
    <w:rsid w:val="000B5F93"/>
    <w:rsid w:val="000C0CD9"/>
    <w:rsid w:val="000E5E43"/>
    <w:rsid w:val="000F52D3"/>
    <w:rsid w:val="00100F36"/>
    <w:rsid w:val="00101A43"/>
    <w:rsid w:val="00101E48"/>
    <w:rsid w:val="001313F2"/>
    <w:rsid w:val="00167299"/>
    <w:rsid w:val="00195D8E"/>
    <w:rsid w:val="001B7BA6"/>
    <w:rsid w:val="001D15C8"/>
    <w:rsid w:val="001F157C"/>
    <w:rsid w:val="00212A34"/>
    <w:rsid w:val="00260CC2"/>
    <w:rsid w:val="002653E8"/>
    <w:rsid w:val="0028714A"/>
    <w:rsid w:val="002A5742"/>
    <w:rsid w:val="002B0AF2"/>
    <w:rsid w:val="002B2D08"/>
    <w:rsid w:val="002C1DFD"/>
    <w:rsid w:val="002C400C"/>
    <w:rsid w:val="002C5E09"/>
    <w:rsid w:val="00304D05"/>
    <w:rsid w:val="00312E32"/>
    <w:rsid w:val="00317136"/>
    <w:rsid w:val="0032422C"/>
    <w:rsid w:val="00327FF6"/>
    <w:rsid w:val="00331E8F"/>
    <w:rsid w:val="00331F48"/>
    <w:rsid w:val="003406E1"/>
    <w:rsid w:val="00362E75"/>
    <w:rsid w:val="003E7C85"/>
    <w:rsid w:val="00405B2D"/>
    <w:rsid w:val="004278D2"/>
    <w:rsid w:val="00452DF6"/>
    <w:rsid w:val="004608DF"/>
    <w:rsid w:val="00462299"/>
    <w:rsid w:val="00474F80"/>
    <w:rsid w:val="004914E8"/>
    <w:rsid w:val="00493AD5"/>
    <w:rsid w:val="004A4A94"/>
    <w:rsid w:val="004C1753"/>
    <w:rsid w:val="004F094D"/>
    <w:rsid w:val="00523C70"/>
    <w:rsid w:val="00543045"/>
    <w:rsid w:val="005719DF"/>
    <w:rsid w:val="005848A2"/>
    <w:rsid w:val="005940EB"/>
    <w:rsid w:val="005D2663"/>
    <w:rsid w:val="005E5412"/>
    <w:rsid w:val="005E6FFA"/>
    <w:rsid w:val="00604DD4"/>
    <w:rsid w:val="0064218B"/>
    <w:rsid w:val="00662077"/>
    <w:rsid w:val="00677FEB"/>
    <w:rsid w:val="006A018E"/>
    <w:rsid w:val="006A263E"/>
    <w:rsid w:val="006A5DBC"/>
    <w:rsid w:val="006B528B"/>
    <w:rsid w:val="006D4BA6"/>
    <w:rsid w:val="00705CEB"/>
    <w:rsid w:val="00722BEC"/>
    <w:rsid w:val="00725F2C"/>
    <w:rsid w:val="00743D2D"/>
    <w:rsid w:val="00747610"/>
    <w:rsid w:val="00766E0E"/>
    <w:rsid w:val="0077516C"/>
    <w:rsid w:val="00783581"/>
    <w:rsid w:val="007B625E"/>
    <w:rsid w:val="0080480E"/>
    <w:rsid w:val="008231E2"/>
    <w:rsid w:val="00835599"/>
    <w:rsid w:val="00840F14"/>
    <w:rsid w:val="00861DE2"/>
    <w:rsid w:val="00861FE8"/>
    <w:rsid w:val="00871DA8"/>
    <w:rsid w:val="00871FC1"/>
    <w:rsid w:val="008912B6"/>
    <w:rsid w:val="008A2AC0"/>
    <w:rsid w:val="008A4458"/>
    <w:rsid w:val="008B63B2"/>
    <w:rsid w:val="008E09D0"/>
    <w:rsid w:val="00915096"/>
    <w:rsid w:val="00927141"/>
    <w:rsid w:val="0094530E"/>
    <w:rsid w:val="00995A49"/>
    <w:rsid w:val="009B26D0"/>
    <w:rsid w:val="009B4F4C"/>
    <w:rsid w:val="009D57F4"/>
    <w:rsid w:val="009E7609"/>
    <w:rsid w:val="009F7FDF"/>
    <w:rsid w:val="00A13890"/>
    <w:rsid w:val="00A21436"/>
    <w:rsid w:val="00A223E9"/>
    <w:rsid w:val="00A31D1A"/>
    <w:rsid w:val="00A5589B"/>
    <w:rsid w:val="00A7669D"/>
    <w:rsid w:val="00A8167C"/>
    <w:rsid w:val="00A853ED"/>
    <w:rsid w:val="00A94CCE"/>
    <w:rsid w:val="00AC3A35"/>
    <w:rsid w:val="00AC5F55"/>
    <w:rsid w:val="00AE26B4"/>
    <w:rsid w:val="00B13BB4"/>
    <w:rsid w:val="00B21F71"/>
    <w:rsid w:val="00B3065C"/>
    <w:rsid w:val="00B60596"/>
    <w:rsid w:val="00B60F95"/>
    <w:rsid w:val="00C05271"/>
    <w:rsid w:val="00C05F49"/>
    <w:rsid w:val="00C206F7"/>
    <w:rsid w:val="00C20EF1"/>
    <w:rsid w:val="00C54591"/>
    <w:rsid w:val="00CA37EF"/>
    <w:rsid w:val="00CC38F6"/>
    <w:rsid w:val="00CC7859"/>
    <w:rsid w:val="00CD0C6C"/>
    <w:rsid w:val="00CD0F06"/>
    <w:rsid w:val="00CD3F26"/>
    <w:rsid w:val="00CD5B3B"/>
    <w:rsid w:val="00CE235F"/>
    <w:rsid w:val="00D0182A"/>
    <w:rsid w:val="00D06E9C"/>
    <w:rsid w:val="00D240CB"/>
    <w:rsid w:val="00D434B8"/>
    <w:rsid w:val="00D50351"/>
    <w:rsid w:val="00D86F1D"/>
    <w:rsid w:val="00DC39D2"/>
    <w:rsid w:val="00DD27CB"/>
    <w:rsid w:val="00DF0E94"/>
    <w:rsid w:val="00E06A2C"/>
    <w:rsid w:val="00E11533"/>
    <w:rsid w:val="00E562FC"/>
    <w:rsid w:val="00E56667"/>
    <w:rsid w:val="00E80A27"/>
    <w:rsid w:val="00E80D5E"/>
    <w:rsid w:val="00E870FD"/>
    <w:rsid w:val="00E94670"/>
    <w:rsid w:val="00EA0F6C"/>
    <w:rsid w:val="00EB710B"/>
    <w:rsid w:val="00ED56C3"/>
    <w:rsid w:val="00EE32F2"/>
    <w:rsid w:val="00F56471"/>
    <w:rsid w:val="00F67D20"/>
    <w:rsid w:val="00FA7368"/>
    <w:rsid w:val="00FA7D34"/>
    <w:rsid w:val="00FB6D27"/>
    <w:rsid w:val="00FC0F5B"/>
    <w:rsid w:val="00FC4284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6AEFD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BA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6A8C-473E-4710-B1E1-AC489E45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7110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MJ</cp:lastModifiedBy>
  <cp:revision>2</cp:revision>
  <cp:lastPrinted>2020-09-23T11:48:00Z</cp:lastPrinted>
  <dcterms:created xsi:type="dcterms:W3CDTF">2020-10-12T07:27:00Z</dcterms:created>
  <dcterms:modified xsi:type="dcterms:W3CDTF">2020-10-12T07:27:00Z</dcterms:modified>
</cp:coreProperties>
</file>