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D65" w:rsidRPr="00966A60" w:rsidRDefault="00FC7D65" w:rsidP="002B6AF3">
      <w:pPr>
        <w:ind w:left="0"/>
        <w:jc w:val="right"/>
        <w:rPr>
          <w:rFonts w:cs="Arial"/>
          <w:b/>
          <w:lang w:val="ro-RO"/>
        </w:rPr>
      </w:pPr>
      <w:bookmarkStart w:id="0" w:name="_GoBack"/>
      <w:bookmarkEnd w:id="0"/>
      <w:r w:rsidRPr="00966A60">
        <w:rPr>
          <w:rFonts w:cs="Arial"/>
          <w:b/>
          <w:lang w:val="ro-RO"/>
        </w:rPr>
        <w:t>Anexă</w:t>
      </w:r>
    </w:p>
    <w:p w:rsidR="00FC7D65" w:rsidRPr="00966A60" w:rsidRDefault="00FC7D65" w:rsidP="00FC7D65">
      <w:pPr>
        <w:spacing w:before="240"/>
        <w:ind w:left="0"/>
        <w:jc w:val="center"/>
        <w:rPr>
          <w:rFonts w:cstheme="minorHAnsi"/>
          <w:b/>
          <w:i/>
          <w:u w:val="single"/>
          <w:lang w:val="ro-RO"/>
        </w:rPr>
      </w:pPr>
      <w:r w:rsidRPr="00966A60">
        <w:rPr>
          <w:rFonts w:cstheme="minorHAnsi"/>
          <w:b/>
          <w:lang w:val="ro-RO"/>
        </w:rPr>
        <w:t xml:space="preserve">Procedura de înscriere/radiere a </w:t>
      </w:r>
      <w:r w:rsidR="00DF05AA" w:rsidRPr="00966A60">
        <w:rPr>
          <w:rFonts w:cstheme="minorHAnsi"/>
          <w:b/>
          <w:lang w:val="ro-RO"/>
        </w:rPr>
        <w:t>mențiunilor</w:t>
      </w:r>
      <w:r w:rsidRPr="00966A60">
        <w:rPr>
          <w:rFonts w:cstheme="minorHAnsi"/>
          <w:b/>
          <w:lang w:val="ro-RO"/>
        </w:rPr>
        <w:t xml:space="preserve"> provizorii în/din </w:t>
      </w:r>
      <w:r w:rsidRPr="00966A60">
        <w:rPr>
          <w:b/>
          <w:lang w:val="ro-RO"/>
        </w:rPr>
        <w:t xml:space="preserve">Registrul beneficiarilor </w:t>
      </w:r>
      <w:r w:rsidR="00DF05AA" w:rsidRPr="00966A60">
        <w:rPr>
          <w:b/>
          <w:lang w:val="ro-RO"/>
        </w:rPr>
        <w:t>ținut</w:t>
      </w:r>
      <w:r w:rsidRPr="00966A60">
        <w:rPr>
          <w:b/>
          <w:lang w:val="ro-RO"/>
        </w:rPr>
        <w:t xml:space="preserve"> de Oficiul </w:t>
      </w:r>
      <w:r w:rsidR="00DF05AA" w:rsidRPr="00966A60">
        <w:rPr>
          <w:b/>
          <w:lang w:val="ro-RO"/>
        </w:rPr>
        <w:t>Național</w:t>
      </w:r>
      <w:r w:rsidRPr="00966A60">
        <w:rPr>
          <w:b/>
          <w:lang w:val="ro-RO"/>
        </w:rPr>
        <w:t xml:space="preserve"> al Registrului </w:t>
      </w:r>
      <w:r w:rsidR="00DF05AA" w:rsidRPr="00966A60">
        <w:rPr>
          <w:b/>
          <w:lang w:val="ro-RO"/>
        </w:rPr>
        <w:t>Comerțului</w:t>
      </w:r>
    </w:p>
    <w:p w:rsidR="00FC7D65" w:rsidRPr="00966A60" w:rsidRDefault="00FC7D65" w:rsidP="00FC7D65">
      <w:pPr>
        <w:jc w:val="center"/>
        <w:rPr>
          <w:rFonts w:cstheme="minorHAnsi"/>
          <w:b/>
          <w:lang w:val="ro-RO"/>
        </w:rPr>
      </w:pPr>
    </w:p>
    <w:p w:rsidR="00FC7D65" w:rsidRPr="00966A60" w:rsidRDefault="00FC7D65" w:rsidP="00FC7D65">
      <w:pPr>
        <w:shd w:val="clear" w:color="auto" w:fill="FFFFFF"/>
        <w:spacing w:after="0" w:line="240" w:lineRule="auto"/>
        <w:ind w:left="0"/>
        <w:rPr>
          <w:rFonts w:eastAsia="Times New Roman"/>
          <w:lang w:val="ro-RO"/>
        </w:rPr>
      </w:pPr>
      <w:bookmarkStart w:id="1" w:name="do|ax1|ar1|pa1"/>
      <w:bookmarkEnd w:id="1"/>
      <w:r w:rsidRPr="00966A60">
        <w:rPr>
          <w:rFonts w:cstheme="minorHAnsi"/>
          <w:lang w:val="ro-RO"/>
        </w:rPr>
        <w:t xml:space="preserve">Art. 1. - </w:t>
      </w:r>
      <w:r w:rsidRPr="00966A60">
        <w:rPr>
          <w:rFonts w:eastAsia="Times New Roman"/>
          <w:lang w:val="ro-RO"/>
        </w:rPr>
        <w:t>Prezenta procedură privește schimbul de informații și de documente între autoritățile/</w:t>
      </w:r>
      <w:r w:rsidRPr="00966A60">
        <w:rPr>
          <w:lang w:val="ro-RO"/>
        </w:rPr>
        <w:t xml:space="preserve"> </w:t>
      </w:r>
      <w:proofErr w:type="spellStart"/>
      <w:r w:rsidRPr="00966A60">
        <w:rPr>
          <w:lang w:val="ro-RO"/>
        </w:rPr>
        <w:t>e</w:t>
      </w:r>
      <w:r w:rsidRPr="00966A60">
        <w:rPr>
          <w:rFonts w:eastAsia="Times New Roman"/>
          <w:lang w:val="ro-RO"/>
        </w:rPr>
        <w:t>ntităţile</w:t>
      </w:r>
      <w:proofErr w:type="spellEnd"/>
      <w:r w:rsidRPr="00966A60">
        <w:rPr>
          <w:rFonts w:eastAsia="Times New Roman"/>
          <w:lang w:val="ro-RO"/>
        </w:rPr>
        <w:t xml:space="preserve"> la care se referă art. 19 alin. (7) – (7</w:t>
      </w:r>
      <w:r w:rsidRPr="00966A60">
        <w:rPr>
          <w:rFonts w:eastAsia="Times New Roman"/>
          <w:vertAlign w:val="superscript"/>
          <w:lang w:val="ro-RO"/>
        </w:rPr>
        <w:t>2</w:t>
      </w:r>
      <w:r w:rsidRPr="00966A60">
        <w:rPr>
          <w:rFonts w:eastAsia="Times New Roman"/>
          <w:lang w:val="ro-RO"/>
        </w:rPr>
        <w:t xml:space="preserve">) din Legea nr. 129/2019 </w:t>
      </w:r>
      <w:r w:rsidRPr="00966A60">
        <w:rPr>
          <w:rFonts w:cs="Arial"/>
          <w:lang w:val="ro-RO"/>
        </w:rPr>
        <w:t xml:space="preserve">pentru prevenirea </w:t>
      </w:r>
      <w:proofErr w:type="spellStart"/>
      <w:r w:rsidRPr="00966A60">
        <w:rPr>
          <w:rFonts w:cs="Arial"/>
          <w:lang w:val="ro-RO"/>
        </w:rPr>
        <w:t>şi</w:t>
      </w:r>
      <w:proofErr w:type="spellEnd"/>
      <w:r w:rsidRPr="00966A60">
        <w:rPr>
          <w:rFonts w:cs="Arial"/>
          <w:lang w:val="ro-RO"/>
        </w:rPr>
        <w:t xml:space="preserve"> combaterea spălării banilor </w:t>
      </w:r>
      <w:proofErr w:type="spellStart"/>
      <w:r w:rsidRPr="00966A60">
        <w:rPr>
          <w:rFonts w:cs="Arial"/>
          <w:lang w:val="ro-RO"/>
        </w:rPr>
        <w:t>şi</w:t>
      </w:r>
      <w:proofErr w:type="spellEnd"/>
      <w:r w:rsidRPr="00966A60">
        <w:rPr>
          <w:rFonts w:cs="Arial"/>
          <w:lang w:val="ro-RO"/>
        </w:rPr>
        <w:t xml:space="preserve"> </w:t>
      </w:r>
      <w:proofErr w:type="spellStart"/>
      <w:r w:rsidRPr="00966A60">
        <w:rPr>
          <w:rFonts w:cs="Arial"/>
          <w:lang w:val="ro-RO"/>
        </w:rPr>
        <w:t>finanţării</w:t>
      </w:r>
      <w:proofErr w:type="spellEnd"/>
      <w:r w:rsidRPr="00966A60">
        <w:rPr>
          <w:rFonts w:cs="Arial"/>
          <w:lang w:val="ro-RO"/>
        </w:rPr>
        <w:t xml:space="preserve"> terorismului, precum </w:t>
      </w:r>
      <w:proofErr w:type="spellStart"/>
      <w:r w:rsidRPr="00966A60">
        <w:rPr>
          <w:rFonts w:cs="Arial"/>
          <w:lang w:val="ro-RO"/>
        </w:rPr>
        <w:t>şi</w:t>
      </w:r>
      <w:proofErr w:type="spellEnd"/>
      <w:r w:rsidRPr="00966A60">
        <w:rPr>
          <w:rFonts w:cs="Arial"/>
          <w:lang w:val="ro-RO"/>
        </w:rPr>
        <w:t xml:space="preserve"> pentru modificarea </w:t>
      </w:r>
      <w:proofErr w:type="spellStart"/>
      <w:r w:rsidRPr="00966A60">
        <w:rPr>
          <w:rFonts w:cs="Arial"/>
          <w:lang w:val="ro-RO"/>
        </w:rPr>
        <w:t>şi</w:t>
      </w:r>
      <w:proofErr w:type="spellEnd"/>
      <w:r w:rsidRPr="00966A60">
        <w:rPr>
          <w:rFonts w:cs="Arial"/>
          <w:lang w:val="ro-RO"/>
        </w:rPr>
        <w:t xml:space="preserve"> completarea unor acte normative, cu modificările </w:t>
      </w:r>
      <w:proofErr w:type="spellStart"/>
      <w:r w:rsidRPr="00966A60">
        <w:rPr>
          <w:rFonts w:cs="Arial"/>
          <w:lang w:val="ro-RO"/>
        </w:rPr>
        <w:t>şi</w:t>
      </w:r>
      <w:proofErr w:type="spellEnd"/>
      <w:r w:rsidRPr="00966A60">
        <w:rPr>
          <w:rFonts w:cs="Arial"/>
          <w:lang w:val="ro-RO"/>
        </w:rPr>
        <w:t xml:space="preserve"> completările ulterioare, denumită în continuare Legea nr. 129/2019</w:t>
      </w:r>
      <w:r w:rsidRPr="00966A60">
        <w:rPr>
          <w:rFonts w:cstheme="minorHAnsi"/>
          <w:lang w:val="ro-RO"/>
        </w:rPr>
        <w:t>.</w:t>
      </w:r>
    </w:p>
    <w:p w:rsidR="00FC7D65" w:rsidRPr="00966A60" w:rsidRDefault="00FC7D65" w:rsidP="00FC7D65">
      <w:pPr>
        <w:shd w:val="clear" w:color="auto" w:fill="FFFFFF"/>
        <w:spacing w:after="0" w:line="240" w:lineRule="auto"/>
        <w:rPr>
          <w:rFonts w:cstheme="minorHAnsi"/>
          <w:lang w:val="ro-RO"/>
        </w:rPr>
      </w:pPr>
      <w:bookmarkStart w:id="2" w:name="do|ax1|ar2|pa1"/>
      <w:bookmarkStart w:id="3" w:name="do|ax1|ar3"/>
      <w:bookmarkEnd w:id="2"/>
    </w:p>
    <w:p w:rsidR="00FC7D65" w:rsidRPr="00966A60" w:rsidRDefault="00FC7D65" w:rsidP="00FC7D65">
      <w:pPr>
        <w:shd w:val="clear" w:color="auto" w:fill="FFFFFF"/>
        <w:spacing w:after="0" w:line="240" w:lineRule="auto"/>
        <w:ind w:left="0"/>
        <w:rPr>
          <w:rFonts w:eastAsia="Times New Roman"/>
          <w:lang w:val="ro-RO"/>
        </w:rPr>
      </w:pPr>
      <w:r w:rsidRPr="00966A60">
        <w:rPr>
          <w:rFonts w:cstheme="minorHAnsi"/>
          <w:lang w:val="ro-RO"/>
        </w:rPr>
        <w:t xml:space="preserve">Art. 2. </w:t>
      </w:r>
      <w:r w:rsidRPr="00966A60">
        <w:rPr>
          <w:rFonts w:eastAsia="Times New Roman"/>
          <w:lang w:val="ro-RO"/>
        </w:rPr>
        <w:t xml:space="preserve">(1) -  </w:t>
      </w:r>
      <w:r w:rsidRPr="00966A60">
        <w:rPr>
          <w:rFonts w:cstheme="minorHAnsi"/>
          <w:lang w:val="ro-RO"/>
        </w:rPr>
        <w:t xml:space="preserve">În vederea asigurării caracterului </w:t>
      </w:r>
      <w:r w:rsidRPr="00966A60">
        <w:rPr>
          <w:rFonts w:eastAsia="Times New Roman"/>
          <w:lang w:val="ro-RO"/>
        </w:rPr>
        <w:t xml:space="preserve">adecvat, corect </w:t>
      </w:r>
      <w:proofErr w:type="spellStart"/>
      <w:r w:rsidRPr="00966A60">
        <w:rPr>
          <w:rFonts w:eastAsia="Times New Roman"/>
          <w:lang w:val="ro-RO"/>
        </w:rPr>
        <w:t>şi</w:t>
      </w:r>
      <w:proofErr w:type="spellEnd"/>
      <w:r w:rsidRPr="00966A60">
        <w:rPr>
          <w:rFonts w:eastAsia="Times New Roman"/>
          <w:lang w:val="ro-RO"/>
        </w:rPr>
        <w:t xml:space="preserve"> actualizat al</w:t>
      </w:r>
      <w:r w:rsidRPr="00966A60">
        <w:rPr>
          <w:rFonts w:cstheme="minorHAnsi"/>
          <w:lang w:val="ro-RO"/>
        </w:rPr>
        <w:t xml:space="preserve"> </w:t>
      </w:r>
      <w:proofErr w:type="spellStart"/>
      <w:r w:rsidRPr="00966A60">
        <w:rPr>
          <w:rFonts w:cstheme="minorHAnsi"/>
          <w:lang w:val="ro-RO"/>
        </w:rPr>
        <w:t>i</w:t>
      </w:r>
      <w:r w:rsidRPr="00966A60">
        <w:rPr>
          <w:rFonts w:eastAsia="Times New Roman"/>
          <w:lang w:val="ro-RO"/>
        </w:rPr>
        <w:t>nformaţiilor</w:t>
      </w:r>
      <w:proofErr w:type="spellEnd"/>
      <w:r w:rsidRPr="00966A60">
        <w:rPr>
          <w:rFonts w:eastAsia="Times New Roman"/>
          <w:lang w:val="ro-RO"/>
        </w:rPr>
        <w:t xml:space="preserve"> cuprinse în Registrul beneficiarilor reali, ONRC verifică, unde este cazul, concordanța între datele înscrise în registrul comerțului central computerizat și datele privind beneficiarii reali.</w:t>
      </w:r>
    </w:p>
    <w:p w:rsidR="00FC7D65" w:rsidRPr="00966A60" w:rsidRDefault="00FC7D65" w:rsidP="00FC7D65">
      <w:pPr>
        <w:shd w:val="clear" w:color="auto" w:fill="FFFFFF"/>
        <w:spacing w:after="0" w:line="240" w:lineRule="auto"/>
        <w:ind w:left="0"/>
        <w:rPr>
          <w:rFonts w:eastAsia="Times New Roman"/>
          <w:lang w:val="ro-RO"/>
        </w:rPr>
      </w:pPr>
      <w:r w:rsidRPr="00966A60">
        <w:rPr>
          <w:rFonts w:eastAsia="Times New Roman"/>
          <w:lang w:val="ro-RO"/>
        </w:rPr>
        <w:t xml:space="preserve">(2) În cazul existenței unor neconcordanțe între datele menționate la alin. (1), ONRC actualizează evidențele proprii, în cazul datelor completate anterior din oficiu sau, după caz, sesizează ONPCSB în cazul unor neconcordanțe existente în declarațiile privind beneficiarii reali. </w:t>
      </w:r>
      <w:r w:rsidRPr="00966A60">
        <w:rPr>
          <w:rFonts w:eastAsia="Times New Roman"/>
          <w:lang w:val="ro-RO"/>
        </w:rPr>
        <w:tab/>
      </w:r>
    </w:p>
    <w:p w:rsidR="00FC7D65" w:rsidRPr="00966A60" w:rsidRDefault="00FC7D65" w:rsidP="00FC7D65">
      <w:pPr>
        <w:shd w:val="clear" w:color="auto" w:fill="FFFFFF"/>
        <w:spacing w:after="0" w:line="240" w:lineRule="auto"/>
        <w:rPr>
          <w:rFonts w:eastAsia="Times New Roman"/>
          <w:lang w:val="ro-RO"/>
        </w:rPr>
      </w:pPr>
    </w:p>
    <w:p w:rsidR="00FC7D65" w:rsidRPr="00966A60" w:rsidRDefault="00FC7D65" w:rsidP="00FC7D65">
      <w:pPr>
        <w:shd w:val="clear" w:color="auto" w:fill="FFFFFF"/>
        <w:spacing w:after="0" w:line="240" w:lineRule="auto"/>
        <w:ind w:left="0"/>
        <w:rPr>
          <w:rFonts w:eastAsia="Times New Roman"/>
          <w:lang w:val="ro-RO"/>
        </w:rPr>
      </w:pPr>
      <w:r w:rsidRPr="00966A60">
        <w:rPr>
          <w:rFonts w:eastAsia="Times New Roman"/>
          <w:lang w:val="ro-RO"/>
        </w:rPr>
        <w:t>Art. 3.- Informarea ONPCSB</w:t>
      </w:r>
      <w:r w:rsidRPr="00966A60">
        <w:rPr>
          <w:rFonts w:cstheme="minorHAnsi"/>
          <w:lang w:val="ro-RO"/>
        </w:rPr>
        <w:t xml:space="preserve"> și a</w:t>
      </w:r>
      <w:r w:rsidRPr="00966A60">
        <w:rPr>
          <w:rFonts w:eastAsia="Times New Roman"/>
          <w:lang w:val="ro-RO"/>
        </w:rPr>
        <w:t xml:space="preserve"> ONRC, în condițiile art. 19 alin. (7) – (7</w:t>
      </w:r>
      <w:r w:rsidRPr="00966A60">
        <w:rPr>
          <w:rFonts w:eastAsia="Times New Roman"/>
          <w:vertAlign w:val="superscript"/>
          <w:lang w:val="ro-RO"/>
        </w:rPr>
        <w:t>1</w:t>
      </w:r>
      <w:r w:rsidRPr="00966A60">
        <w:rPr>
          <w:rFonts w:eastAsia="Times New Roman"/>
          <w:lang w:val="ro-RO"/>
        </w:rPr>
        <w:t xml:space="preserve">) din Legea nr. 129/2019, privește atât </w:t>
      </w:r>
      <w:proofErr w:type="spellStart"/>
      <w:r w:rsidRPr="00966A60">
        <w:rPr>
          <w:rFonts w:eastAsia="Times New Roman"/>
          <w:lang w:val="ro-RO"/>
        </w:rPr>
        <w:t>autorităţile</w:t>
      </w:r>
      <w:proofErr w:type="spellEnd"/>
      <w:r w:rsidRPr="00966A60">
        <w:rPr>
          <w:rFonts w:eastAsia="Times New Roman"/>
          <w:lang w:val="ro-RO"/>
        </w:rPr>
        <w:t xml:space="preserve"> care au acces la Registrul beneficiarilor reali prevăzute de art. 19 alin. (8) lit. a) din Legea nr. 129/2019, cât</w:t>
      </w:r>
      <w:r w:rsidRPr="00966A60">
        <w:rPr>
          <w:lang w:val="ro-RO"/>
        </w:rPr>
        <w:t xml:space="preserve"> </w:t>
      </w:r>
      <w:r w:rsidRPr="00966A60">
        <w:rPr>
          <w:rFonts w:eastAsia="Times New Roman"/>
          <w:lang w:val="ro-RO"/>
        </w:rPr>
        <w:t xml:space="preserve">și </w:t>
      </w:r>
      <w:proofErr w:type="spellStart"/>
      <w:r w:rsidRPr="00966A60">
        <w:rPr>
          <w:rFonts w:eastAsia="Times New Roman"/>
          <w:lang w:val="ro-RO"/>
        </w:rPr>
        <w:t>entităţile</w:t>
      </w:r>
      <w:proofErr w:type="spellEnd"/>
      <w:r w:rsidRPr="00966A60">
        <w:rPr>
          <w:rFonts w:eastAsia="Times New Roman"/>
          <w:lang w:val="ro-RO"/>
        </w:rPr>
        <w:t xml:space="preserve"> raportoare.</w:t>
      </w:r>
    </w:p>
    <w:p w:rsidR="00FC7D65" w:rsidRPr="00966A60" w:rsidRDefault="00FC7D65" w:rsidP="00FC7D65">
      <w:pPr>
        <w:shd w:val="clear" w:color="auto" w:fill="FFFFFF"/>
        <w:spacing w:after="0" w:line="240" w:lineRule="auto"/>
        <w:rPr>
          <w:rFonts w:eastAsia="Times New Roman"/>
          <w:lang w:val="ro-RO"/>
        </w:rPr>
      </w:pPr>
    </w:p>
    <w:p w:rsidR="00FC7D65" w:rsidRPr="00966A60" w:rsidRDefault="00FC7D65" w:rsidP="00FC7D65">
      <w:pPr>
        <w:shd w:val="clear" w:color="auto" w:fill="FFFFFF"/>
        <w:spacing w:after="0" w:line="240" w:lineRule="auto"/>
        <w:ind w:left="0"/>
        <w:rPr>
          <w:rFonts w:eastAsia="Times New Roman"/>
          <w:lang w:val="ro-RO"/>
        </w:rPr>
      </w:pPr>
      <w:r w:rsidRPr="00966A60">
        <w:rPr>
          <w:rFonts w:cstheme="minorHAnsi"/>
          <w:lang w:val="ro-RO"/>
        </w:rPr>
        <w:t xml:space="preserve">Art. 4. - </w:t>
      </w:r>
      <w:r w:rsidRPr="00966A60">
        <w:rPr>
          <w:rFonts w:eastAsia="Times New Roman"/>
          <w:lang w:val="ro-RO"/>
        </w:rPr>
        <w:t xml:space="preserve">(1) </w:t>
      </w:r>
      <w:proofErr w:type="spellStart"/>
      <w:r w:rsidRPr="00966A60">
        <w:rPr>
          <w:rFonts w:eastAsia="Times New Roman"/>
          <w:lang w:val="ro-RO"/>
        </w:rPr>
        <w:t>Autorităţile</w:t>
      </w:r>
      <w:proofErr w:type="spellEnd"/>
      <w:r w:rsidRPr="00966A60">
        <w:rPr>
          <w:rFonts w:eastAsia="Times New Roman"/>
          <w:lang w:val="ro-RO"/>
        </w:rPr>
        <w:t xml:space="preserve"> care au acces la Registrul beneficiarilor reali, în măsura în care această </w:t>
      </w:r>
      <w:proofErr w:type="spellStart"/>
      <w:r w:rsidRPr="00966A60">
        <w:rPr>
          <w:rFonts w:eastAsia="Times New Roman"/>
          <w:lang w:val="ro-RO"/>
        </w:rPr>
        <w:t>cerinţă</w:t>
      </w:r>
      <w:proofErr w:type="spellEnd"/>
      <w:r w:rsidRPr="00966A60">
        <w:rPr>
          <w:rFonts w:eastAsia="Times New Roman"/>
          <w:lang w:val="ro-RO"/>
        </w:rPr>
        <w:t xml:space="preserve"> nu interferează nejustificat cu </w:t>
      </w:r>
      <w:proofErr w:type="spellStart"/>
      <w:r w:rsidRPr="00966A60">
        <w:rPr>
          <w:rFonts w:eastAsia="Times New Roman"/>
          <w:lang w:val="ro-RO"/>
        </w:rPr>
        <w:t>atribuţiile</w:t>
      </w:r>
      <w:proofErr w:type="spellEnd"/>
      <w:r w:rsidRPr="00966A60">
        <w:rPr>
          <w:rFonts w:eastAsia="Times New Roman"/>
          <w:lang w:val="ro-RO"/>
        </w:rPr>
        <w:t xml:space="preserve"> lor legale, informează ONPCSB </w:t>
      </w:r>
      <w:proofErr w:type="spellStart"/>
      <w:r w:rsidRPr="00966A60">
        <w:rPr>
          <w:rFonts w:eastAsia="Times New Roman"/>
          <w:lang w:val="ro-RO"/>
        </w:rPr>
        <w:t>şi</w:t>
      </w:r>
      <w:proofErr w:type="spellEnd"/>
      <w:r w:rsidRPr="00966A60">
        <w:rPr>
          <w:rFonts w:eastAsia="Times New Roman"/>
          <w:lang w:val="ro-RO"/>
        </w:rPr>
        <w:t xml:space="preserve"> ONRC cu privire la orice </w:t>
      </w:r>
      <w:proofErr w:type="spellStart"/>
      <w:r w:rsidRPr="00966A60">
        <w:rPr>
          <w:rFonts w:eastAsia="Times New Roman"/>
          <w:lang w:val="ro-RO"/>
        </w:rPr>
        <w:t>neconcordanţă</w:t>
      </w:r>
      <w:proofErr w:type="spellEnd"/>
      <w:r w:rsidRPr="00966A60">
        <w:rPr>
          <w:rFonts w:eastAsia="Times New Roman"/>
          <w:lang w:val="ro-RO"/>
        </w:rPr>
        <w:t xml:space="preserve"> între </w:t>
      </w:r>
      <w:proofErr w:type="spellStart"/>
      <w:r w:rsidRPr="00966A60">
        <w:rPr>
          <w:rFonts w:eastAsia="Times New Roman"/>
          <w:lang w:val="ro-RO"/>
        </w:rPr>
        <w:t>informaţiile</w:t>
      </w:r>
      <w:proofErr w:type="spellEnd"/>
      <w:r w:rsidRPr="00966A60">
        <w:rPr>
          <w:rFonts w:eastAsia="Times New Roman"/>
          <w:lang w:val="ro-RO"/>
        </w:rPr>
        <w:t xml:space="preserve"> disponibile în Registrul beneficiarilor reali </w:t>
      </w:r>
      <w:proofErr w:type="spellStart"/>
      <w:r w:rsidRPr="00966A60">
        <w:rPr>
          <w:rFonts w:eastAsia="Times New Roman"/>
          <w:lang w:val="ro-RO"/>
        </w:rPr>
        <w:t>şi</w:t>
      </w:r>
      <w:proofErr w:type="spellEnd"/>
      <w:r w:rsidRPr="00966A60">
        <w:rPr>
          <w:rFonts w:eastAsia="Times New Roman"/>
          <w:lang w:val="ro-RO"/>
        </w:rPr>
        <w:t xml:space="preserve"> </w:t>
      </w:r>
      <w:proofErr w:type="spellStart"/>
      <w:r w:rsidRPr="00966A60">
        <w:rPr>
          <w:rFonts w:eastAsia="Times New Roman"/>
          <w:lang w:val="ro-RO"/>
        </w:rPr>
        <w:t>informaţiile</w:t>
      </w:r>
      <w:proofErr w:type="spellEnd"/>
      <w:r w:rsidRPr="00966A60">
        <w:rPr>
          <w:rFonts w:eastAsia="Times New Roman"/>
          <w:lang w:val="ro-RO"/>
        </w:rPr>
        <w:t xml:space="preserve"> privind beneficiarii reali pe care le </w:t>
      </w:r>
      <w:proofErr w:type="spellStart"/>
      <w:r w:rsidRPr="00966A60">
        <w:rPr>
          <w:rFonts w:eastAsia="Times New Roman"/>
          <w:lang w:val="ro-RO"/>
        </w:rPr>
        <w:t>deţin</w:t>
      </w:r>
      <w:proofErr w:type="spellEnd"/>
      <w:r w:rsidRPr="00966A60">
        <w:rPr>
          <w:rFonts w:eastAsia="Times New Roman"/>
          <w:lang w:val="ro-RO"/>
        </w:rPr>
        <w:t xml:space="preserve">.  </w:t>
      </w:r>
    </w:p>
    <w:p w:rsidR="00FC7D65" w:rsidRPr="00966A60" w:rsidRDefault="00FC7D65" w:rsidP="00FC7D65">
      <w:pPr>
        <w:shd w:val="clear" w:color="auto" w:fill="FFFFFF"/>
        <w:spacing w:after="0" w:line="240" w:lineRule="auto"/>
        <w:ind w:left="0"/>
        <w:rPr>
          <w:rFonts w:eastAsia="Times New Roman"/>
          <w:lang w:val="ro-RO"/>
        </w:rPr>
      </w:pPr>
      <w:r w:rsidRPr="00966A60">
        <w:rPr>
          <w:rFonts w:eastAsia="Times New Roman"/>
          <w:lang w:val="ro-RO"/>
        </w:rPr>
        <w:t>(2) Informarea prevăzută la alin. (1) va fi făcută, de îndată, cu semnătură electronică calificată, la o căsuță de e-mail pusă la dispoziție în acest sens de ONRC și va cuprinde datele pe care le dețin privind beneficiarii reali cu indicarea exactă a neconcordanței sesizate față de datele înregistrate în Registrul beneficiarilor reali.</w:t>
      </w:r>
    </w:p>
    <w:p w:rsidR="00FC7D65" w:rsidRPr="00966A60" w:rsidRDefault="00FC7D65" w:rsidP="00FC7D65">
      <w:pPr>
        <w:shd w:val="clear" w:color="auto" w:fill="FFFFFF"/>
        <w:spacing w:after="0" w:line="240" w:lineRule="auto"/>
        <w:ind w:firstLine="708"/>
        <w:rPr>
          <w:rFonts w:eastAsia="Times New Roman"/>
          <w:lang w:val="ro-RO"/>
        </w:rPr>
      </w:pPr>
    </w:p>
    <w:p w:rsidR="00FC7D65" w:rsidRPr="00966A60" w:rsidRDefault="00FC7D65" w:rsidP="00FC7D65">
      <w:pPr>
        <w:shd w:val="clear" w:color="auto" w:fill="FFFFFF"/>
        <w:spacing w:after="0" w:line="240" w:lineRule="auto"/>
        <w:ind w:left="0"/>
        <w:rPr>
          <w:rFonts w:eastAsia="Times New Roman"/>
          <w:lang w:val="ro-RO"/>
        </w:rPr>
      </w:pPr>
      <w:bookmarkStart w:id="4" w:name="do|ax1|ar4"/>
      <w:bookmarkEnd w:id="3"/>
      <w:r w:rsidRPr="00966A60">
        <w:rPr>
          <w:rFonts w:cstheme="minorHAnsi"/>
          <w:lang w:val="ro-RO"/>
        </w:rPr>
        <w:t xml:space="preserve">Art. 5. – </w:t>
      </w:r>
      <w:r w:rsidRPr="00966A60">
        <w:rPr>
          <w:rFonts w:eastAsia="Times New Roman"/>
          <w:lang w:val="ro-RO"/>
        </w:rPr>
        <w:t xml:space="preserve">(1) </w:t>
      </w:r>
      <w:proofErr w:type="spellStart"/>
      <w:r w:rsidRPr="00966A60">
        <w:rPr>
          <w:rFonts w:eastAsia="Times New Roman"/>
          <w:lang w:val="ro-RO"/>
        </w:rPr>
        <w:t>Entităţile</w:t>
      </w:r>
      <w:proofErr w:type="spellEnd"/>
      <w:r w:rsidRPr="00966A60">
        <w:rPr>
          <w:rFonts w:eastAsia="Times New Roman"/>
          <w:lang w:val="ro-RO"/>
        </w:rPr>
        <w:t xml:space="preserve"> raportoare prevăzute la art. 5 din Legea nr. 129/2019, după consultarea Registrului beneficiarilor reali, informează ONPCSB </w:t>
      </w:r>
      <w:proofErr w:type="spellStart"/>
      <w:r w:rsidRPr="00966A60">
        <w:rPr>
          <w:rFonts w:eastAsia="Times New Roman"/>
          <w:lang w:val="ro-RO"/>
        </w:rPr>
        <w:t>şi</w:t>
      </w:r>
      <w:proofErr w:type="spellEnd"/>
      <w:r w:rsidRPr="00966A60">
        <w:rPr>
          <w:rFonts w:eastAsia="Times New Roman"/>
          <w:lang w:val="ro-RO"/>
        </w:rPr>
        <w:t xml:space="preserve"> ONRC cu privire la orice </w:t>
      </w:r>
      <w:proofErr w:type="spellStart"/>
      <w:r w:rsidRPr="00966A60">
        <w:rPr>
          <w:rFonts w:eastAsia="Times New Roman"/>
          <w:lang w:val="ro-RO"/>
        </w:rPr>
        <w:t>neconcordanţă</w:t>
      </w:r>
      <w:proofErr w:type="spellEnd"/>
      <w:r w:rsidRPr="00966A60">
        <w:rPr>
          <w:rFonts w:eastAsia="Times New Roman"/>
          <w:lang w:val="ro-RO"/>
        </w:rPr>
        <w:t xml:space="preserve"> între </w:t>
      </w:r>
      <w:proofErr w:type="spellStart"/>
      <w:r w:rsidRPr="00966A60">
        <w:rPr>
          <w:rFonts w:eastAsia="Times New Roman"/>
          <w:lang w:val="ro-RO"/>
        </w:rPr>
        <w:t>informaţiile</w:t>
      </w:r>
      <w:proofErr w:type="spellEnd"/>
      <w:r w:rsidRPr="00966A60">
        <w:rPr>
          <w:rFonts w:eastAsia="Times New Roman"/>
          <w:lang w:val="ro-RO"/>
        </w:rPr>
        <w:t xml:space="preserve"> disponibile în Registrul beneficiarilor reali </w:t>
      </w:r>
      <w:proofErr w:type="spellStart"/>
      <w:r w:rsidRPr="00966A60">
        <w:rPr>
          <w:rFonts w:eastAsia="Times New Roman"/>
          <w:lang w:val="ro-RO"/>
        </w:rPr>
        <w:t>şi</w:t>
      </w:r>
      <w:proofErr w:type="spellEnd"/>
      <w:r w:rsidRPr="00966A60">
        <w:rPr>
          <w:rFonts w:eastAsia="Times New Roman"/>
          <w:lang w:val="ro-RO"/>
        </w:rPr>
        <w:t xml:space="preserve"> </w:t>
      </w:r>
      <w:proofErr w:type="spellStart"/>
      <w:r w:rsidRPr="00966A60">
        <w:rPr>
          <w:rFonts w:eastAsia="Times New Roman"/>
          <w:lang w:val="ro-RO"/>
        </w:rPr>
        <w:t>informaţiile</w:t>
      </w:r>
      <w:proofErr w:type="spellEnd"/>
      <w:r w:rsidRPr="00966A60">
        <w:rPr>
          <w:rFonts w:eastAsia="Times New Roman"/>
          <w:lang w:val="ro-RO"/>
        </w:rPr>
        <w:t xml:space="preserve"> privind beneficiarii reali pe care le </w:t>
      </w:r>
      <w:proofErr w:type="spellStart"/>
      <w:r w:rsidRPr="00966A60">
        <w:rPr>
          <w:rFonts w:eastAsia="Times New Roman"/>
          <w:lang w:val="ro-RO"/>
        </w:rPr>
        <w:t>deţin</w:t>
      </w:r>
      <w:proofErr w:type="spellEnd"/>
      <w:r w:rsidRPr="00966A60">
        <w:rPr>
          <w:rFonts w:eastAsia="Times New Roman"/>
          <w:lang w:val="ro-RO"/>
        </w:rPr>
        <w:t xml:space="preserve">.  </w:t>
      </w:r>
    </w:p>
    <w:bookmarkEnd w:id="4"/>
    <w:p w:rsidR="00FC7D65" w:rsidRPr="00966A60" w:rsidRDefault="00FC7D65" w:rsidP="00FC7D65">
      <w:pPr>
        <w:shd w:val="clear" w:color="auto" w:fill="FFFFFF"/>
        <w:spacing w:after="0" w:line="240" w:lineRule="auto"/>
        <w:ind w:left="0"/>
        <w:rPr>
          <w:rFonts w:eastAsia="Times New Roman"/>
          <w:lang w:val="ro-RO"/>
        </w:rPr>
      </w:pPr>
      <w:r w:rsidRPr="00966A60">
        <w:rPr>
          <w:rFonts w:eastAsia="Times New Roman"/>
          <w:lang w:val="ro-RO"/>
        </w:rPr>
        <w:t>(2) Informarea prevăzută la alin. (1) va fi făcută, de îndată, cu semnătură electronică calificată, la o căsuță de e-mail pusă la dispoziție în acest sens de ONRC și va cuprinde datele pe care le dețin privind beneficiarii reali cu indicarea exactă a neconcordanței sesizate față de datele înregistrate în Registrul beneficiarilor reali.</w:t>
      </w:r>
    </w:p>
    <w:p w:rsidR="00FC7D65" w:rsidRPr="00966A60" w:rsidRDefault="00FC7D65" w:rsidP="00FC7D65">
      <w:pPr>
        <w:shd w:val="clear" w:color="auto" w:fill="FFFFFF"/>
        <w:spacing w:after="0" w:line="240" w:lineRule="auto"/>
        <w:rPr>
          <w:rFonts w:cstheme="minorHAnsi"/>
          <w:lang w:val="ro-RO"/>
        </w:rPr>
      </w:pPr>
    </w:p>
    <w:p w:rsidR="00FC7D65" w:rsidRPr="00966A60" w:rsidRDefault="00FC7D65" w:rsidP="00FC7D65">
      <w:pPr>
        <w:shd w:val="clear" w:color="auto" w:fill="FFFFFF"/>
        <w:spacing w:after="0" w:line="240" w:lineRule="auto"/>
        <w:ind w:left="0"/>
        <w:rPr>
          <w:rFonts w:eastAsia="Times New Roman"/>
          <w:lang w:val="ro-RO"/>
        </w:rPr>
      </w:pPr>
      <w:r w:rsidRPr="00966A60">
        <w:rPr>
          <w:rFonts w:cstheme="minorHAnsi"/>
          <w:lang w:val="ro-RO"/>
        </w:rPr>
        <w:t xml:space="preserve">Art. 6.- </w:t>
      </w:r>
      <w:r w:rsidRPr="00966A60">
        <w:rPr>
          <w:rFonts w:eastAsia="Times New Roman"/>
          <w:lang w:val="ro-RO"/>
        </w:rPr>
        <w:t xml:space="preserve">Pe baza informațiilor transmise potrivit art. 4, respectiv art. 5, de mai sus, ONRC va înscrie, din oficiu, în Registrul beneficiarilor reali, o </w:t>
      </w:r>
      <w:proofErr w:type="spellStart"/>
      <w:r w:rsidRPr="00966A60">
        <w:rPr>
          <w:rFonts w:eastAsia="Times New Roman"/>
          <w:lang w:val="ro-RO"/>
        </w:rPr>
        <w:t>menţiune</w:t>
      </w:r>
      <w:proofErr w:type="spellEnd"/>
      <w:r w:rsidRPr="00966A60">
        <w:rPr>
          <w:rFonts w:eastAsia="Times New Roman"/>
          <w:lang w:val="ro-RO"/>
        </w:rPr>
        <w:t xml:space="preserve"> provizorie cu privire la existența neconcordanței privind datele înregistrate anterior în Registrul beneficiarilor reali.</w:t>
      </w:r>
    </w:p>
    <w:p w:rsidR="00FC7D65" w:rsidRPr="00966A60" w:rsidRDefault="00FC7D65" w:rsidP="00FC7D65">
      <w:pPr>
        <w:shd w:val="clear" w:color="auto" w:fill="FFFFFF"/>
        <w:spacing w:after="0" w:line="240" w:lineRule="auto"/>
        <w:rPr>
          <w:rFonts w:eastAsia="Times New Roman"/>
          <w:lang w:val="ro-RO"/>
        </w:rPr>
      </w:pPr>
      <w:r w:rsidRPr="00966A60" w:rsidDel="00414AE6">
        <w:rPr>
          <w:rFonts w:cstheme="minorHAnsi"/>
          <w:lang w:val="ro-RO"/>
        </w:rPr>
        <w:t xml:space="preserve"> </w:t>
      </w:r>
    </w:p>
    <w:p w:rsidR="00FC7D65" w:rsidRPr="00966A60" w:rsidRDefault="00FC7D65" w:rsidP="00FC7D65">
      <w:pPr>
        <w:shd w:val="clear" w:color="auto" w:fill="FFFFFF"/>
        <w:spacing w:after="0" w:line="240" w:lineRule="auto"/>
        <w:ind w:left="0"/>
        <w:rPr>
          <w:rFonts w:eastAsia="Times New Roman"/>
          <w:lang w:val="ro-RO"/>
        </w:rPr>
      </w:pPr>
      <w:r w:rsidRPr="00966A60">
        <w:rPr>
          <w:rFonts w:cstheme="minorHAnsi"/>
          <w:lang w:val="ro-RO"/>
        </w:rPr>
        <w:t xml:space="preserve">Art. 7 – </w:t>
      </w:r>
      <w:r w:rsidRPr="00966A60">
        <w:rPr>
          <w:rFonts w:eastAsia="Times New Roman"/>
          <w:lang w:val="ro-RO"/>
        </w:rPr>
        <w:t xml:space="preserve">(1) </w:t>
      </w:r>
      <w:r w:rsidRPr="00966A60">
        <w:rPr>
          <w:rFonts w:cstheme="minorHAnsi"/>
          <w:lang w:val="ro-RO"/>
        </w:rPr>
        <w:t xml:space="preserve">După </w:t>
      </w:r>
      <w:proofErr w:type="spellStart"/>
      <w:r w:rsidRPr="00966A60">
        <w:rPr>
          <w:rFonts w:cstheme="minorHAnsi"/>
          <w:lang w:val="ro-RO"/>
        </w:rPr>
        <w:t>soluţionarea</w:t>
      </w:r>
      <w:proofErr w:type="spellEnd"/>
      <w:r w:rsidRPr="00966A60">
        <w:rPr>
          <w:rFonts w:cstheme="minorHAnsi"/>
          <w:lang w:val="ro-RO"/>
        </w:rPr>
        <w:t xml:space="preserve"> </w:t>
      </w:r>
      <w:proofErr w:type="spellStart"/>
      <w:r w:rsidRPr="00966A60">
        <w:rPr>
          <w:rFonts w:cstheme="minorHAnsi"/>
          <w:lang w:val="ro-RO"/>
        </w:rPr>
        <w:t>neconcordanţei</w:t>
      </w:r>
      <w:proofErr w:type="spellEnd"/>
      <w:r w:rsidRPr="00966A60">
        <w:rPr>
          <w:rFonts w:cstheme="minorHAnsi"/>
          <w:lang w:val="ro-RO"/>
        </w:rPr>
        <w:t xml:space="preserve">, la solicitarea ONPCSB, ONRC </w:t>
      </w:r>
      <w:r w:rsidRPr="00966A60">
        <w:rPr>
          <w:rFonts w:eastAsia="Times New Roman"/>
          <w:lang w:val="ro-RO"/>
        </w:rPr>
        <w:t xml:space="preserve">radiază </w:t>
      </w:r>
      <w:proofErr w:type="spellStart"/>
      <w:r w:rsidRPr="00966A60">
        <w:rPr>
          <w:rFonts w:eastAsia="Times New Roman"/>
          <w:lang w:val="ro-RO"/>
        </w:rPr>
        <w:t>menţiunea</w:t>
      </w:r>
      <w:proofErr w:type="spellEnd"/>
      <w:r w:rsidRPr="00966A60">
        <w:rPr>
          <w:rFonts w:eastAsia="Times New Roman"/>
          <w:lang w:val="ro-RO"/>
        </w:rPr>
        <w:t xml:space="preserve"> </w:t>
      </w:r>
      <w:proofErr w:type="spellStart"/>
      <w:r w:rsidRPr="00966A60">
        <w:rPr>
          <w:rFonts w:eastAsia="Times New Roman"/>
          <w:lang w:val="ro-RO"/>
        </w:rPr>
        <w:t>şi</w:t>
      </w:r>
      <w:proofErr w:type="spellEnd"/>
      <w:r w:rsidRPr="00966A60">
        <w:rPr>
          <w:rFonts w:eastAsia="Times New Roman"/>
          <w:lang w:val="ro-RO"/>
        </w:rPr>
        <w:t xml:space="preserve"> păstrează datele înregistrate anterior înscrierii acesteia. </w:t>
      </w:r>
    </w:p>
    <w:p w:rsidR="00FC7D65" w:rsidRPr="00966A60" w:rsidRDefault="00FC7D65" w:rsidP="00FC7D65">
      <w:pPr>
        <w:shd w:val="clear" w:color="auto" w:fill="FFFFFF"/>
        <w:spacing w:after="0" w:line="240" w:lineRule="auto"/>
        <w:ind w:left="0"/>
        <w:rPr>
          <w:rFonts w:eastAsia="Times New Roman"/>
          <w:lang w:val="ro-RO"/>
        </w:rPr>
      </w:pPr>
      <w:r w:rsidRPr="00966A60">
        <w:rPr>
          <w:rFonts w:eastAsia="Times New Roman"/>
          <w:lang w:val="ro-RO"/>
        </w:rPr>
        <w:t xml:space="preserve">        (2) Pentru transmiterea, de către </w:t>
      </w:r>
      <w:r w:rsidRPr="00966A60">
        <w:rPr>
          <w:rFonts w:cstheme="minorHAnsi"/>
          <w:lang w:val="ro-RO"/>
        </w:rPr>
        <w:t>ONPCSB,</w:t>
      </w:r>
      <w:r w:rsidRPr="00966A60">
        <w:rPr>
          <w:rFonts w:eastAsia="Times New Roman"/>
          <w:lang w:val="ro-RO"/>
        </w:rPr>
        <w:t xml:space="preserve"> pe cale electronică, cu semnătură electronică calificată, a adresei prin care solicită, după soluționarea neconcordanței, </w:t>
      </w:r>
      <w:r w:rsidRPr="00966A60">
        <w:rPr>
          <w:rFonts w:eastAsia="Times New Roman"/>
          <w:lang w:val="ro-RO"/>
        </w:rPr>
        <w:lastRenderedPageBreak/>
        <w:t xml:space="preserve">radierea mențiunii provizorii, ONRC pune la dispoziția </w:t>
      </w:r>
      <w:r w:rsidRPr="00966A60">
        <w:rPr>
          <w:rFonts w:cstheme="minorHAnsi"/>
          <w:lang w:val="ro-RO"/>
        </w:rPr>
        <w:t>ONPCSB</w:t>
      </w:r>
      <w:r w:rsidRPr="00966A60">
        <w:rPr>
          <w:rFonts w:eastAsia="Times New Roman"/>
          <w:lang w:val="ro-RO"/>
        </w:rPr>
        <w:t xml:space="preserve"> o căsuță de e-mail special destinată acestei corespondențe.  </w:t>
      </w:r>
      <w:r w:rsidRPr="00966A60">
        <w:rPr>
          <w:rFonts w:eastAsia="Times New Roman"/>
          <w:lang w:val="ro-RO"/>
        </w:rPr>
        <w:tab/>
      </w:r>
    </w:p>
    <w:sectPr w:rsidR="00FC7D65" w:rsidRPr="00966A60" w:rsidSect="005848A2">
      <w:headerReference w:type="default" r:id="rId7"/>
      <w:footerReference w:type="default" r:id="rId8"/>
      <w:headerReference w:type="first" r:id="rId9"/>
      <w:footerReference w:type="first" r:id="rId10"/>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ED2" w:rsidRDefault="00683ED2" w:rsidP="00CD5B3B">
      <w:r>
        <w:separator/>
      </w:r>
    </w:p>
  </w:endnote>
  <w:endnote w:type="continuationSeparator" w:id="0">
    <w:p w:rsidR="00683ED2" w:rsidRDefault="00683ED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Look w:val="04A0" w:firstRow="1" w:lastRow="0" w:firstColumn="1" w:lastColumn="0" w:noHBand="0" w:noVBand="1"/>
    </w:tblPr>
    <w:tblGrid>
      <w:gridCol w:w="1566"/>
      <w:gridCol w:w="5986"/>
      <w:gridCol w:w="3363"/>
    </w:tblGrid>
    <w:tr w:rsidR="00A1790E" w:rsidRPr="00405B2D" w:rsidTr="00385DA7">
      <w:tc>
        <w:tcPr>
          <w:tcW w:w="1566" w:type="dxa"/>
          <w:shd w:val="clear" w:color="auto" w:fill="auto"/>
        </w:tcPr>
        <w:p w:rsidR="00A1790E" w:rsidRDefault="00A1790E" w:rsidP="00A1790E">
          <w:pPr>
            <w:ind w:left="33"/>
          </w:pPr>
          <w:r>
            <w:rPr>
              <w:noProof/>
              <w:lang w:val="ro-RO" w:eastAsia="ro-RO"/>
            </w:rPr>
            <w:drawing>
              <wp:inline distT="0" distB="0" distL="0" distR="0" wp14:anchorId="7CE9C902" wp14:editId="2FD14C76">
                <wp:extent cx="314325" cy="314325"/>
                <wp:effectExtent l="0" t="0" r="9525" b="9525"/>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r>
            <w:rPr>
              <w:noProof/>
              <w:lang w:val="ro-RO" w:eastAsia="ro-RO"/>
            </w:rPr>
            <w:drawing>
              <wp:inline distT="0" distB="0" distL="0" distR="0" wp14:anchorId="0B6F12BA" wp14:editId="3F2E2477">
                <wp:extent cx="311150" cy="311150"/>
                <wp:effectExtent l="0" t="0" r="0" b="0"/>
                <wp:docPr id="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A1790E" w:rsidRPr="00036CF6" w:rsidRDefault="00A1790E" w:rsidP="00A1790E">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A1790E" w:rsidRPr="00036CF6" w:rsidRDefault="00A1790E" w:rsidP="00A1790E">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A1790E" w:rsidRPr="00036CF6" w:rsidRDefault="00A1790E" w:rsidP="00A1790E">
          <w:pPr>
            <w:tabs>
              <w:tab w:val="center" w:pos="4320"/>
              <w:tab w:val="right" w:pos="8640"/>
            </w:tabs>
            <w:spacing w:after="0"/>
            <w:ind w:left="0"/>
            <w:rPr>
              <w:sz w:val="14"/>
              <w:szCs w:val="14"/>
            </w:rPr>
          </w:pPr>
          <w:r w:rsidRPr="00036CF6">
            <w:rPr>
              <w:sz w:val="14"/>
              <w:szCs w:val="14"/>
            </w:rPr>
            <w:t>Tel. +4 037 204 1999</w:t>
          </w:r>
        </w:p>
        <w:p w:rsidR="00A1790E" w:rsidRPr="00036CF6" w:rsidRDefault="00683ED2" w:rsidP="00A1790E">
          <w:pPr>
            <w:tabs>
              <w:tab w:val="center" w:pos="4320"/>
              <w:tab w:val="right" w:pos="8640"/>
            </w:tabs>
            <w:spacing w:after="0"/>
            <w:ind w:left="0"/>
            <w:rPr>
              <w:sz w:val="14"/>
              <w:szCs w:val="14"/>
            </w:rPr>
          </w:pPr>
          <w:hyperlink r:id="rId3" w:history="1">
            <w:r w:rsidR="00A1790E" w:rsidRPr="00036CF6">
              <w:rPr>
                <w:color w:val="0000FF" w:themeColor="hyperlink"/>
                <w:sz w:val="14"/>
                <w:szCs w:val="14"/>
                <w:u w:val="single"/>
              </w:rPr>
              <w:t>www.just.ro</w:t>
            </w:r>
          </w:hyperlink>
        </w:p>
        <w:p w:rsidR="00A1790E" w:rsidRPr="00036CF6" w:rsidRDefault="00A1790E" w:rsidP="00A1790E">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3363" w:type="dxa"/>
          <w:shd w:val="clear" w:color="auto" w:fill="auto"/>
        </w:tcPr>
        <w:p w:rsidR="00A1790E" w:rsidRPr="00452DF6" w:rsidRDefault="00A1790E" w:rsidP="00A1790E">
          <w:pPr>
            <w:tabs>
              <w:tab w:val="center" w:pos="4536"/>
              <w:tab w:val="right" w:pos="9072"/>
            </w:tabs>
            <w:spacing w:after="0" w:line="240" w:lineRule="auto"/>
            <w:ind w:left="0"/>
            <w:jc w:val="right"/>
            <w:rPr>
              <w:sz w:val="14"/>
              <w:szCs w:val="14"/>
              <w:lang w:val="es-ES"/>
            </w:rPr>
          </w:pPr>
          <w:proofErr w:type="spellStart"/>
          <w:r w:rsidRPr="00452DF6">
            <w:rPr>
              <w:sz w:val="14"/>
              <w:szCs w:val="14"/>
              <w:lang w:val="es-ES"/>
            </w:rPr>
            <w:t>Pagina</w:t>
          </w:r>
          <w:proofErr w:type="spellEnd"/>
          <w:r w:rsidRPr="00452DF6">
            <w:rPr>
              <w:sz w:val="14"/>
              <w:szCs w:val="14"/>
              <w:lang w:val="es-ES"/>
            </w:rPr>
            <w:t xml:space="preserve"> </w:t>
          </w:r>
          <w:r w:rsidRPr="00036CF6">
            <w:rPr>
              <w:sz w:val="14"/>
              <w:szCs w:val="14"/>
            </w:rPr>
            <w:fldChar w:fldCharType="begin"/>
          </w:r>
          <w:r w:rsidRPr="00452DF6">
            <w:rPr>
              <w:sz w:val="14"/>
              <w:szCs w:val="14"/>
              <w:lang w:val="es-ES"/>
            </w:rPr>
            <w:instrText xml:space="preserve"> PAGE </w:instrText>
          </w:r>
          <w:r w:rsidRPr="00036CF6">
            <w:rPr>
              <w:sz w:val="14"/>
              <w:szCs w:val="14"/>
            </w:rPr>
            <w:fldChar w:fldCharType="separate"/>
          </w:r>
          <w:r>
            <w:rPr>
              <w:noProof/>
              <w:sz w:val="14"/>
              <w:szCs w:val="14"/>
              <w:lang w:val="es-ES"/>
            </w:rPr>
            <w:t>1</w:t>
          </w:r>
          <w:r w:rsidRPr="00036CF6">
            <w:rPr>
              <w:sz w:val="14"/>
              <w:szCs w:val="14"/>
            </w:rPr>
            <w:fldChar w:fldCharType="end"/>
          </w:r>
          <w:r w:rsidRPr="00452DF6">
            <w:rPr>
              <w:sz w:val="14"/>
              <w:szCs w:val="14"/>
              <w:lang w:val="es-ES"/>
            </w:rPr>
            <w:t xml:space="preserve"> din </w:t>
          </w:r>
          <w:r w:rsidRPr="00036CF6">
            <w:rPr>
              <w:sz w:val="14"/>
              <w:szCs w:val="14"/>
            </w:rPr>
            <w:fldChar w:fldCharType="begin"/>
          </w:r>
          <w:r w:rsidRPr="00452DF6">
            <w:rPr>
              <w:sz w:val="14"/>
              <w:szCs w:val="14"/>
              <w:lang w:val="es-ES"/>
            </w:rPr>
            <w:instrText xml:space="preserve"> SECTIONPAGES   \* MERGEFORMAT </w:instrText>
          </w:r>
          <w:r w:rsidRPr="00036CF6">
            <w:rPr>
              <w:sz w:val="14"/>
              <w:szCs w:val="14"/>
            </w:rPr>
            <w:fldChar w:fldCharType="separate"/>
          </w:r>
          <w:r w:rsidR="001079B7">
            <w:rPr>
              <w:noProof/>
              <w:sz w:val="14"/>
              <w:szCs w:val="14"/>
              <w:lang w:val="es-ES"/>
            </w:rPr>
            <w:t>2</w:t>
          </w:r>
          <w:r w:rsidRPr="00036CF6">
            <w:rPr>
              <w:sz w:val="14"/>
              <w:szCs w:val="14"/>
            </w:rPr>
            <w:fldChar w:fldCharType="end"/>
          </w:r>
        </w:p>
        <w:p w:rsidR="00A1790E" w:rsidRPr="00452DF6" w:rsidRDefault="00A1790E" w:rsidP="00A1790E">
          <w:pPr>
            <w:tabs>
              <w:tab w:val="center" w:pos="4536"/>
              <w:tab w:val="right" w:pos="9072"/>
            </w:tabs>
            <w:spacing w:after="0" w:line="240" w:lineRule="auto"/>
            <w:ind w:left="0"/>
            <w:jc w:val="right"/>
            <w:rPr>
              <w:sz w:val="14"/>
              <w:szCs w:val="14"/>
              <w:lang w:val="es-ES"/>
            </w:rPr>
          </w:pPr>
        </w:p>
        <w:p w:rsidR="00A1790E" w:rsidRPr="00036CF6" w:rsidRDefault="00A1790E" w:rsidP="00A1790E">
          <w:pPr>
            <w:tabs>
              <w:tab w:val="center" w:pos="4536"/>
              <w:tab w:val="right" w:pos="9072"/>
            </w:tabs>
            <w:spacing w:after="0" w:line="240" w:lineRule="auto"/>
            <w:ind w:left="0"/>
            <w:jc w:val="right"/>
            <w:rPr>
              <w:rFonts w:ascii="Arial" w:eastAsia="Times New Roman" w:hAnsi="Arial" w:cs="Arial"/>
              <w:b/>
              <w:sz w:val="16"/>
              <w:szCs w:val="16"/>
              <w:lang w:val="ro-RO" w:eastAsia="ro-RO"/>
            </w:rPr>
          </w:pPr>
          <w:r>
            <w:rPr>
              <w:sz w:val="14"/>
              <w:szCs w:val="14"/>
              <w:lang w:val="es-ES"/>
            </w:rPr>
            <w:t>COD: FS-01-05-ver.5</w:t>
          </w:r>
        </w:p>
      </w:tc>
    </w:tr>
  </w:tbl>
  <w:p w:rsidR="00A1790E" w:rsidRDefault="00A17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Look w:val="04A0" w:firstRow="1" w:lastRow="0" w:firstColumn="1" w:lastColumn="0" w:noHBand="0" w:noVBand="1"/>
    </w:tblPr>
    <w:tblGrid>
      <w:gridCol w:w="1566"/>
      <w:gridCol w:w="5986"/>
      <w:gridCol w:w="3363"/>
    </w:tblGrid>
    <w:tr w:rsidR="00871FC1" w:rsidRPr="00405B2D" w:rsidTr="002653E8">
      <w:tc>
        <w:tcPr>
          <w:tcW w:w="1566" w:type="dxa"/>
          <w:shd w:val="clear" w:color="auto" w:fill="auto"/>
        </w:tcPr>
        <w:p w:rsidR="00260CC2" w:rsidRDefault="00260CC2" w:rsidP="00260CC2">
          <w:pPr>
            <w:ind w:left="33"/>
          </w:pPr>
          <w:r>
            <w:rPr>
              <w:noProof/>
              <w:lang w:val="ro-RO" w:eastAsia="ro-RO"/>
            </w:rPr>
            <w:drawing>
              <wp:inline distT="0" distB="0" distL="0" distR="0" wp14:anchorId="7835C069" wp14:editId="41236F4F">
                <wp:extent cx="314325" cy="314325"/>
                <wp:effectExtent l="0" t="0" r="9525"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r w:rsidR="0080480E">
            <w:rPr>
              <w:noProof/>
              <w:lang w:val="ro-RO" w:eastAsia="ro-RO"/>
            </w:rPr>
            <w:drawing>
              <wp:inline distT="0" distB="0" distL="0" distR="0" wp14:anchorId="239A6D69" wp14:editId="766411FC">
                <wp:extent cx="311150" cy="311150"/>
                <wp:effectExtent l="0" t="0" r="0"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871FC1" w:rsidRPr="00036CF6" w:rsidRDefault="00871FC1"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871FC1" w:rsidRPr="00036CF6" w:rsidRDefault="00871FC1" w:rsidP="00036CF6">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871FC1" w:rsidRPr="00036CF6" w:rsidRDefault="00871FC1" w:rsidP="00036CF6">
          <w:pPr>
            <w:tabs>
              <w:tab w:val="center" w:pos="4320"/>
              <w:tab w:val="right" w:pos="8640"/>
            </w:tabs>
            <w:spacing w:after="0"/>
            <w:ind w:left="0"/>
            <w:rPr>
              <w:sz w:val="14"/>
              <w:szCs w:val="14"/>
            </w:rPr>
          </w:pPr>
          <w:r w:rsidRPr="00036CF6">
            <w:rPr>
              <w:sz w:val="14"/>
              <w:szCs w:val="14"/>
            </w:rPr>
            <w:t>Tel. +4 037 204 1999</w:t>
          </w:r>
        </w:p>
        <w:p w:rsidR="00871FC1" w:rsidRPr="00036CF6" w:rsidRDefault="00683ED2" w:rsidP="00036CF6">
          <w:pPr>
            <w:tabs>
              <w:tab w:val="center" w:pos="4320"/>
              <w:tab w:val="right" w:pos="8640"/>
            </w:tabs>
            <w:spacing w:after="0"/>
            <w:ind w:left="0"/>
            <w:rPr>
              <w:sz w:val="14"/>
              <w:szCs w:val="14"/>
            </w:rPr>
          </w:pPr>
          <w:hyperlink r:id="rId3" w:history="1">
            <w:r w:rsidR="00871FC1" w:rsidRPr="00036CF6">
              <w:rPr>
                <w:color w:val="0000FF" w:themeColor="hyperlink"/>
                <w:sz w:val="14"/>
                <w:szCs w:val="14"/>
                <w:u w:val="single"/>
              </w:rPr>
              <w:t>www.just.ro</w:t>
            </w:r>
          </w:hyperlink>
        </w:p>
        <w:p w:rsidR="00871FC1" w:rsidRPr="00036CF6" w:rsidRDefault="00871FC1" w:rsidP="00036CF6">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3363" w:type="dxa"/>
          <w:shd w:val="clear" w:color="auto" w:fill="auto"/>
        </w:tcPr>
        <w:p w:rsidR="00871FC1" w:rsidRPr="00452DF6" w:rsidRDefault="00871FC1" w:rsidP="00036CF6">
          <w:pPr>
            <w:tabs>
              <w:tab w:val="center" w:pos="4536"/>
              <w:tab w:val="right" w:pos="9072"/>
            </w:tabs>
            <w:spacing w:after="0" w:line="240" w:lineRule="auto"/>
            <w:ind w:left="0"/>
            <w:jc w:val="right"/>
            <w:rPr>
              <w:sz w:val="14"/>
              <w:szCs w:val="14"/>
              <w:lang w:val="es-ES"/>
            </w:rPr>
          </w:pPr>
          <w:proofErr w:type="spellStart"/>
          <w:r w:rsidRPr="00452DF6">
            <w:rPr>
              <w:sz w:val="14"/>
              <w:szCs w:val="14"/>
              <w:lang w:val="es-ES"/>
            </w:rPr>
            <w:t>Pagina</w:t>
          </w:r>
          <w:proofErr w:type="spellEnd"/>
          <w:r w:rsidRPr="00452DF6">
            <w:rPr>
              <w:sz w:val="14"/>
              <w:szCs w:val="14"/>
              <w:lang w:val="es-ES"/>
            </w:rPr>
            <w:t xml:space="preserve"> </w:t>
          </w:r>
          <w:r w:rsidRPr="00036CF6">
            <w:rPr>
              <w:sz w:val="14"/>
              <w:szCs w:val="14"/>
            </w:rPr>
            <w:fldChar w:fldCharType="begin"/>
          </w:r>
          <w:r w:rsidRPr="00452DF6">
            <w:rPr>
              <w:sz w:val="14"/>
              <w:szCs w:val="14"/>
              <w:lang w:val="es-ES"/>
            </w:rPr>
            <w:instrText xml:space="preserve"> PAGE </w:instrText>
          </w:r>
          <w:r w:rsidRPr="00036CF6">
            <w:rPr>
              <w:sz w:val="14"/>
              <w:szCs w:val="14"/>
            </w:rPr>
            <w:fldChar w:fldCharType="separate"/>
          </w:r>
          <w:r w:rsidR="0080480E">
            <w:rPr>
              <w:noProof/>
              <w:sz w:val="14"/>
              <w:szCs w:val="14"/>
              <w:lang w:val="es-ES"/>
            </w:rPr>
            <w:t>1</w:t>
          </w:r>
          <w:r w:rsidRPr="00036CF6">
            <w:rPr>
              <w:sz w:val="14"/>
              <w:szCs w:val="14"/>
            </w:rPr>
            <w:fldChar w:fldCharType="end"/>
          </w:r>
          <w:r w:rsidRPr="00452DF6">
            <w:rPr>
              <w:sz w:val="14"/>
              <w:szCs w:val="14"/>
              <w:lang w:val="es-ES"/>
            </w:rPr>
            <w:t xml:space="preserve"> din </w:t>
          </w:r>
          <w:r w:rsidRPr="00036CF6">
            <w:rPr>
              <w:sz w:val="14"/>
              <w:szCs w:val="14"/>
            </w:rPr>
            <w:fldChar w:fldCharType="begin"/>
          </w:r>
          <w:r w:rsidRPr="00452DF6">
            <w:rPr>
              <w:sz w:val="14"/>
              <w:szCs w:val="14"/>
              <w:lang w:val="es-ES"/>
            </w:rPr>
            <w:instrText xml:space="preserve"> SECTIONPAGES   \* MERGEFORMAT </w:instrText>
          </w:r>
          <w:r w:rsidRPr="00036CF6">
            <w:rPr>
              <w:sz w:val="14"/>
              <w:szCs w:val="14"/>
            </w:rPr>
            <w:fldChar w:fldCharType="separate"/>
          </w:r>
          <w:r w:rsidR="001079B7">
            <w:rPr>
              <w:noProof/>
              <w:sz w:val="14"/>
              <w:szCs w:val="14"/>
              <w:lang w:val="es-ES"/>
            </w:rPr>
            <w:t>2</w:t>
          </w:r>
          <w:r w:rsidRPr="00036CF6">
            <w:rPr>
              <w:sz w:val="14"/>
              <w:szCs w:val="14"/>
            </w:rPr>
            <w:fldChar w:fldCharType="end"/>
          </w:r>
        </w:p>
        <w:p w:rsidR="00871FC1" w:rsidRPr="00452DF6" w:rsidRDefault="00871FC1" w:rsidP="00036CF6">
          <w:pPr>
            <w:tabs>
              <w:tab w:val="center" w:pos="4536"/>
              <w:tab w:val="right" w:pos="9072"/>
            </w:tabs>
            <w:spacing w:after="0" w:line="240" w:lineRule="auto"/>
            <w:ind w:left="0"/>
            <w:jc w:val="right"/>
            <w:rPr>
              <w:sz w:val="14"/>
              <w:szCs w:val="14"/>
              <w:lang w:val="es-ES"/>
            </w:rPr>
          </w:pPr>
        </w:p>
        <w:p w:rsidR="00871FC1" w:rsidRPr="00036CF6" w:rsidRDefault="00327FF6" w:rsidP="00871FC1">
          <w:pPr>
            <w:tabs>
              <w:tab w:val="center" w:pos="4536"/>
              <w:tab w:val="right" w:pos="9072"/>
            </w:tabs>
            <w:spacing w:after="0" w:line="240" w:lineRule="auto"/>
            <w:ind w:left="0"/>
            <w:jc w:val="right"/>
            <w:rPr>
              <w:rFonts w:ascii="Arial" w:eastAsia="Times New Roman" w:hAnsi="Arial" w:cs="Arial"/>
              <w:b/>
              <w:sz w:val="16"/>
              <w:szCs w:val="16"/>
              <w:lang w:val="ro-RO" w:eastAsia="ro-RO"/>
            </w:rPr>
          </w:pPr>
          <w:r>
            <w:rPr>
              <w:sz w:val="14"/>
              <w:szCs w:val="14"/>
              <w:lang w:val="es-ES"/>
            </w:rPr>
            <w:t>COD: FS-01-05-ver.5</w:t>
          </w:r>
        </w:p>
      </w:tc>
    </w:tr>
  </w:tbl>
  <w:p w:rsidR="00871FC1" w:rsidRPr="005848A2" w:rsidRDefault="00871FC1" w:rsidP="0064218B">
    <w:pP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ED2" w:rsidRDefault="00683ED2" w:rsidP="00E06A2C">
      <w:pPr>
        <w:spacing w:after="0"/>
        <w:ind w:left="0"/>
      </w:pPr>
      <w:r>
        <w:separator/>
      </w:r>
    </w:p>
  </w:footnote>
  <w:footnote w:type="continuationSeparator" w:id="0">
    <w:p w:rsidR="00683ED2" w:rsidRDefault="00683ED2" w:rsidP="00E06A2C">
      <w:pPr>
        <w:ind w:left="0"/>
      </w:pPr>
      <w:r>
        <w:continuationSeparator/>
      </w:r>
    </w:p>
  </w:footnote>
  <w:footnote w:type="continuationNotice" w:id="1">
    <w:p w:rsidR="00683ED2" w:rsidRDefault="00683ED2" w:rsidP="00E06A2C">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C1" w:rsidRDefault="00871FC1" w:rsidP="008A4458">
    <w:pPr>
      <w:pStyle w:val="Header"/>
      <w:ind w:left="0"/>
    </w:pPr>
  </w:p>
  <w:p w:rsidR="00871FC1" w:rsidRPr="00CD5B3B" w:rsidRDefault="00871FC1" w:rsidP="008A4458">
    <w:pPr>
      <w:pStyle w:val="Header"/>
      <w:ind w:left="0"/>
    </w:pPr>
    <w:r>
      <w:rPr>
        <w:noProof/>
        <w:lang w:val="ro-RO" w:eastAsia="ro-RO"/>
      </w:rPr>
      <w:drawing>
        <wp:inline distT="0" distB="0" distL="0" distR="0" wp14:anchorId="2B18CA6B" wp14:editId="711A4143">
          <wp:extent cx="1959610" cy="201930"/>
          <wp:effectExtent l="0" t="0" r="2540" b="7620"/>
          <wp:docPr id="9" name="Picture 31" descr="D:\Profiles\Viorel.Streza\Desktop\template min 4 radu\logo_antet\logo_antet_MJ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rofiles\Viorel.Streza\Desktop\template min 4 radu\logo_antet\logo_antet_MJ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201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C1" w:rsidRPr="00405B2D" w:rsidRDefault="00405B2D" w:rsidP="00405B2D">
    <w:pPr>
      <w:pStyle w:val="Header"/>
      <w:tabs>
        <w:tab w:val="clear" w:pos="8640"/>
      </w:tabs>
      <w:ind w:left="-1701" w:right="-291"/>
    </w:pPr>
    <w:r>
      <w:rPr>
        <w:noProof/>
        <w:lang w:val="ro-RO" w:eastAsia="ro-RO"/>
      </w:rPr>
      <w:drawing>
        <wp:inline distT="0" distB="0" distL="0" distR="0" wp14:anchorId="6E6837BF" wp14:editId="2F2F8696">
          <wp:extent cx="2816860" cy="902335"/>
          <wp:effectExtent l="0" t="0" r="254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r>
      <w:rPr>
        <w:noProof/>
        <w:lang w:val="ro-RO" w:eastAsia="ro-R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23330"/>
    <w:rsid w:val="00036CF6"/>
    <w:rsid w:val="000A06C2"/>
    <w:rsid w:val="000B5F93"/>
    <w:rsid w:val="000E5E43"/>
    <w:rsid w:val="000F52D3"/>
    <w:rsid w:val="00100F36"/>
    <w:rsid w:val="00101A43"/>
    <w:rsid w:val="00101E48"/>
    <w:rsid w:val="001079B7"/>
    <w:rsid w:val="001313F2"/>
    <w:rsid w:val="00212A34"/>
    <w:rsid w:val="00260CC2"/>
    <w:rsid w:val="002653E8"/>
    <w:rsid w:val="0026643B"/>
    <w:rsid w:val="002A5742"/>
    <w:rsid w:val="002B0AF2"/>
    <w:rsid w:val="002B2D08"/>
    <w:rsid w:val="002B6AF3"/>
    <w:rsid w:val="002C400C"/>
    <w:rsid w:val="002C5E09"/>
    <w:rsid w:val="00304D05"/>
    <w:rsid w:val="00312E32"/>
    <w:rsid w:val="00317136"/>
    <w:rsid w:val="0032422C"/>
    <w:rsid w:val="00327FF6"/>
    <w:rsid w:val="00331E8F"/>
    <w:rsid w:val="00331F48"/>
    <w:rsid w:val="003406E1"/>
    <w:rsid w:val="00377C44"/>
    <w:rsid w:val="003809AA"/>
    <w:rsid w:val="00405B2D"/>
    <w:rsid w:val="004278D2"/>
    <w:rsid w:val="00452DF6"/>
    <w:rsid w:val="004608DF"/>
    <w:rsid w:val="00462299"/>
    <w:rsid w:val="00474F80"/>
    <w:rsid w:val="004914E8"/>
    <w:rsid w:val="00493AD5"/>
    <w:rsid w:val="004A4A94"/>
    <w:rsid w:val="004C1753"/>
    <w:rsid w:val="004F094D"/>
    <w:rsid w:val="00523C70"/>
    <w:rsid w:val="00543045"/>
    <w:rsid w:val="005848A2"/>
    <w:rsid w:val="005E5412"/>
    <w:rsid w:val="005E6FFA"/>
    <w:rsid w:val="00604DD4"/>
    <w:rsid w:val="0064218B"/>
    <w:rsid w:val="00662077"/>
    <w:rsid w:val="00677FEB"/>
    <w:rsid w:val="00683ED2"/>
    <w:rsid w:val="006A018E"/>
    <w:rsid w:val="006A263E"/>
    <w:rsid w:val="006B528B"/>
    <w:rsid w:val="00705CEB"/>
    <w:rsid w:val="00722BEC"/>
    <w:rsid w:val="00725F2C"/>
    <w:rsid w:val="00743D2D"/>
    <w:rsid w:val="00766E0E"/>
    <w:rsid w:val="0077516C"/>
    <w:rsid w:val="00783581"/>
    <w:rsid w:val="007B625E"/>
    <w:rsid w:val="0080480E"/>
    <w:rsid w:val="008231E2"/>
    <w:rsid w:val="00835599"/>
    <w:rsid w:val="00840F14"/>
    <w:rsid w:val="00861DE2"/>
    <w:rsid w:val="00871DA8"/>
    <w:rsid w:val="00871FC1"/>
    <w:rsid w:val="008912B6"/>
    <w:rsid w:val="008A2AC0"/>
    <w:rsid w:val="008A4458"/>
    <w:rsid w:val="008B63B2"/>
    <w:rsid w:val="008E09D0"/>
    <w:rsid w:val="00915096"/>
    <w:rsid w:val="00927141"/>
    <w:rsid w:val="0094530E"/>
    <w:rsid w:val="00966A60"/>
    <w:rsid w:val="009B26D0"/>
    <w:rsid w:val="009B4F4C"/>
    <w:rsid w:val="009D57F4"/>
    <w:rsid w:val="009E7609"/>
    <w:rsid w:val="009F7FDF"/>
    <w:rsid w:val="00A13890"/>
    <w:rsid w:val="00A1790E"/>
    <w:rsid w:val="00A21436"/>
    <w:rsid w:val="00A223E9"/>
    <w:rsid w:val="00A5589B"/>
    <w:rsid w:val="00A7669D"/>
    <w:rsid w:val="00A853ED"/>
    <w:rsid w:val="00AC3A35"/>
    <w:rsid w:val="00AE26B4"/>
    <w:rsid w:val="00B13BB4"/>
    <w:rsid w:val="00B21F71"/>
    <w:rsid w:val="00B3065C"/>
    <w:rsid w:val="00B60596"/>
    <w:rsid w:val="00B60F95"/>
    <w:rsid w:val="00C05271"/>
    <w:rsid w:val="00C05F49"/>
    <w:rsid w:val="00C206F7"/>
    <w:rsid w:val="00C20EF1"/>
    <w:rsid w:val="00C54591"/>
    <w:rsid w:val="00CA37EF"/>
    <w:rsid w:val="00CC7859"/>
    <w:rsid w:val="00CD0C6C"/>
    <w:rsid w:val="00CD0F06"/>
    <w:rsid w:val="00CD5B3B"/>
    <w:rsid w:val="00D0182A"/>
    <w:rsid w:val="00D06E9C"/>
    <w:rsid w:val="00D240CB"/>
    <w:rsid w:val="00D434B8"/>
    <w:rsid w:val="00D50351"/>
    <w:rsid w:val="00D86F1D"/>
    <w:rsid w:val="00DC39D2"/>
    <w:rsid w:val="00DD27CB"/>
    <w:rsid w:val="00DF05AA"/>
    <w:rsid w:val="00DF0E94"/>
    <w:rsid w:val="00E06A2C"/>
    <w:rsid w:val="00E22A74"/>
    <w:rsid w:val="00E562FC"/>
    <w:rsid w:val="00E56667"/>
    <w:rsid w:val="00E80A27"/>
    <w:rsid w:val="00E80D5E"/>
    <w:rsid w:val="00E870FD"/>
    <w:rsid w:val="00E94670"/>
    <w:rsid w:val="00EA0F6C"/>
    <w:rsid w:val="00EB710B"/>
    <w:rsid w:val="00ED56C3"/>
    <w:rsid w:val="00EE32F2"/>
    <w:rsid w:val="00F56471"/>
    <w:rsid w:val="00F67D20"/>
    <w:rsid w:val="00FA7368"/>
    <w:rsid w:val="00FB6D27"/>
    <w:rsid w:val="00FC0F5B"/>
    <w:rsid w:val="00FC4284"/>
    <w:rsid w:val="00FC7D65"/>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AF2"/>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BodyTextIndent2">
    <w:name w:val="Body Text Indent 2"/>
    <w:basedOn w:val="Normal"/>
    <w:link w:val="BodyTextIndent2Char"/>
    <w:rsid w:val="0064218B"/>
    <w:pPr>
      <w:spacing w:line="480" w:lineRule="auto"/>
      <w:ind w:left="283"/>
      <w:jc w:val="left"/>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64218B"/>
    <w:rPr>
      <w:rFonts w:ascii="Times New Roman" w:eastAsia="Times New Roman" w:hAnsi="Times New Roman"/>
    </w:rPr>
  </w:style>
  <w:style w:type="paragraph" w:styleId="FootnoteText">
    <w:name w:val="footnote text"/>
    <w:basedOn w:val="Normal"/>
    <w:link w:val="FootnoteTextChar"/>
    <w:uiPriority w:val="99"/>
    <w:semiHidden/>
    <w:unhideWhenUsed/>
    <w:rsid w:val="00D50351"/>
    <w:pPr>
      <w:ind w:left="0"/>
    </w:pPr>
    <w:rPr>
      <w:sz w:val="16"/>
      <w:szCs w:val="20"/>
    </w:rPr>
  </w:style>
  <w:style w:type="character" w:customStyle="1" w:styleId="FootnoteTextChar">
    <w:name w:val="Footnote Text Char"/>
    <w:basedOn w:val="DefaultParagraphFont"/>
    <w:link w:val="FootnoteText"/>
    <w:uiPriority w:val="99"/>
    <w:semiHidden/>
    <w:rsid w:val="00D50351"/>
    <w:rPr>
      <w:rFonts w:ascii="Trebuchet MS" w:hAnsi="Trebuchet MS"/>
      <w:sz w:val="16"/>
    </w:rPr>
  </w:style>
  <w:style w:type="character" w:styleId="FootnoteReference">
    <w:name w:val="footnote reference"/>
    <w:basedOn w:val="DefaultParagraphFont"/>
    <w:uiPriority w:val="99"/>
    <w:semiHidden/>
    <w:unhideWhenUsed/>
    <w:rsid w:val="00E06A2C"/>
    <w:rPr>
      <w:rFonts w:ascii="Trebuchet MS" w:hAnsi="Trebuchet MS"/>
      <w:sz w:val="22"/>
      <w:vertAlign w:val="superscript"/>
    </w:rPr>
  </w:style>
  <w:style w:type="table" w:customStyle="1" w:styleId="Tabelgril1">
    <w:name w:val="Tabel grilă1"/>
    <w:basedOn w:val="TableNormal"/>
    <w:next w:val="TableGrid"/>
    <w:uiPriority w:val="59"/>
    <w:rsid w:val="00523C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D65"/>
    <w:rPr>
      <w:sz w:val="16"/>
      <w:szCs w:val="16"/>
    </w:rPr>
  </w:style>
  <w:style w:type="paragraph" w:styleId="CommentText">
    <w:name w:val="annotation text"/>
    <w:basedOn w:val="Normal"/>
    <w:link w:val="CommentTextChar"/>
    <w:uiPriority w:val="99"/>
    <w:semiHidden/>
    <w:unhideWhenUsed/>
    <w:rsid w:val="00FC7D65"/>
    <w:pPr>
      <w:spacing w:after="160" w:line="240" w:lineRule="auto"/>
      <w:ind w:left="0"/>
      <w:jc w:val="left"/>
    </w:pPr>
    <w:rPr>
      <w:rFonts w:asciiTheme="minorHAnsi" w:eastAsiaTheme="minorHAnsi" w:hAnsiTheme="minorHAnsi" w:cstheme="minorBidi"/>
      <w:sz w:val="20"/>
      <w:szCs w:val="20"/>
      <w:lang w:val="ro-RO"/>
    </w:rPr>
  </w:style>
  <w:style w:type="character" w:customStyle="1" w:styleId="CommentTextChar">
    <w:name w:val="Comment Text Char"/>
    <w:basedOn w:val="DefaultParagraphFont"/>
    <w:link w:val="CommentText"/>
    <w:uiPriority w:val="99"/>
    <w:semiHidden/>
    <w:rsid w:val="00FC7D65"/>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just.ro"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just.ro"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FB56-DC02-4736-9DB6-56A82B8D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Pages>
  <Words>520</Words>
  <Characters>2967</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MJ</cp:lastModifiedBy>
  <cp:revision>2</cp:revision>
  <cp:lastPrinted>2014-03-11T14:29:00Z</cp:lastPrinted>
  <dcterms:created xsi:type="dcterms:W3CDTF">2020-10-12T07:30:00Z</dcterms:created>
  <dcterms:modified xsi:type="dcterms:W3CDTF">2020-10-12T07:30:00Z</dcterms:modified>
</cp:coreProperties>
</file>