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BD" w:rsidRPr="008E14D7" w:rsidRDefault="009727BD" w:rsidP="008E14D7">
      <w:pPr>
        <w:jc w:val="center"/>
        <w:rPr>
          <w:rFonts w:cs="Arial"/>
          <w:b/>
          <w:bCs/>
          <w:lang w:val="ro-RO"/>
        </w:rPr>
      </w:pPr>
      <w:r w:rsidRPr="008E14D7">
        <w:rPr>
          <w:rFonts w:cs="Arial"/>
          <w:b/>
          <w:bCs/>
          <w:lang w:val="ro-RO"/>
        </w:rPr>
        <w:t xml:space="preserve">                                                                                APROB,</w:t>
      </w:r>
    </w:p>
    <w:p w:rsidR="009727BD" w:rsidRPr="008E14D7" w:rsidRDefault="009727BD" w:rsidP="008E14D7">
      <w:pPr>
        <w:ind w:left="0"/>
        <w:rPr>
          <w:rFonts w:cs="Arial"/>
          <w:b/>
          <w:bCs/>
          <w:lang w:val="ro-RO"/>
        </w:rPr>
      </w:pPr>
      <w:r w:rsidRPr="008E14D7">
        <w:rPr>
          <w:rFonts w:cs="Arial"/>
          <w:b/>
          <w:bCs/>
          <w:lang w:val="ro-RO"/>
        </w:rPr>
        <w:t xml:space="preserve">                   </w:t>
      </w:r>
    </w:p>
    <w:p w:rsidR="009727BD" w:rsidRPr="008E14D7" w:rsidRDefault="009727BD" w:rsidP="008E14D7">
      <w:pPr>
        <w:jc w:val="center"/>
        <w:rPr>
          <w:rFonts w:cs="Arial"/>
          <w:b/>
          <w:bCs/>
          <w:lang w:val="ro-RO"/>
        </w:rPr>
      </w:pPr>
      <w:r w:rsidRPr="008E14D7">
        <w:rPr>
          <w:rFonts w:cs="Arial"/>
          <w:b/>
          <w:bCs/>
          <w:lang w:val="ro-RO"/>
        </w:rPr>
        <w:tab/>
      </w:r>
      <w:r w:rsidRPr="008E14D7">
        <w:rPr>
          <w:rFonts w:cs="Arial"/>
          <w:b/>
          <w:bCs/>
          <w:lang w:val="ro-RO"/>
        </w:rPr>
        <w:tab/>
      </w:r>
      <w:r w:rsidRPr="008E14D7">
        <w:rPr>
          <w:rFonts w:cs="Arial"/>
          <w:b/>
          <w:bCs/>
          <w:lang w:val="ro-RO"/>
        </w:rPr>
        <w:tab/>
      </w:r>
      <w:r w:rsidRPr="008E14D7">
        <w:rPr>
          <w:rFonts w:cs="Arial"/>
          <w:b/>
          <w:bCs/>
          <w:lang w:val="ro-RO"/>
        </w:rPr>
        <w:tab/>
      </w:r>
      <w:r w:rsidRPr="008E14D7">
        <w:rPr>
          <w:rFonts w:cs="Arial"/>
          <w:b/>
          <w:bCs/>
          <w:lang w:val="ro-RO"/>
        </w:rPr>
        <w:tab/>
      </w:r>
      <w:r w:rsidRPr="008E14D7">
        <w:rPr>
          <w:rFonts w:cs="Arial"/>
          <w:b/>
          <w:bCs/>
          <w:lang w:val="ro-RO"/>
        </w:rPr>
        <w:tab/>
      </w:r>
      <w:r w:rsidRPr="008E14D7">
        <w:rPr>
          <w:rFonts w:cs="Arial"/>
          <w:b/>
          <w:bCs/>
          <w:lang w:val="ro-RO"/>
        </w:rPr>
        <w:tab/>
        <w:t xml:space="preserve">Cătălin – Marian </w:t>
      </w:r>
      <w:proofErr w:type="spellStart"/>
      <w:r w:rsidRPr="008E14D7">
        <w:rPr>
          <w:rFonts w:cs="Arial"/>
          <w:b/>
          <w:bCs/>
          <w:lang w:val="ro-RO"/>
        </w:rPr>
        <w:t>Predoiu</w:t>
      </w:r>
      <w:proofErr w:type="spellEnd"/>
    </w:p>
    <w:p w:rsidR="009727BD" w:rsidRPr="008E14D7" w:rsidRDefault="009727BD" w:rsidP="008E14D7">
      <w:pPr>
        <w:jc w:val="center"/>
        <w:rPr>
          <w:rFonts w:cs="Arial"/>
          <w:b/>
          <w:bCs/>
          <w:lang w:val="ro-RO"/>
        </w:rPr>
      </w:pPr>
    </w:p>
    <w:p w:rsidR="009727BD" w:rsidRPr="008E14D7" w:rsidRDefault="009727BD" w:rsidP="008E14D7">
      <w:pPr>
        <w:ind w:left="4956" w:firstLine="708"/>
        <w:jc w:val="center"/>
        <w:rPr>
          <w:rFonts w:cs="Arial"/>
          <w:lang w:val="ro-RO"/>
        </w:rPr>
      </w:pPr>
      <w:r w:rsidRPr="008E14D7">
        <w:rPr>
          <w:rFonts w:cs="Arial"/>
          <w:b/>
          <w:bCs/>
          <w:lang w:val="ro-RO"/>
        </w:rPr>
        <w:t xml:space="preserve">               Ministrul Justiției</w:t>
      </w:r>
    </w:p>
    <w:p w:rsidR="009727BD" w:rsidRPr="008E14D7" w:rsidRDefault="009727BD" w:rsidP="008E14D7">
      <w:pPr>
        <w:ind w:left="0"/>
        <w:jc w:val="center"/>
        <w:rPr>
          <w:b/>
          <w:lang w:val="ro-RO"/>
        </w:rPr>
      </w:pPr>
    </w:p>
    <w:p w:rsidR="009727BD" w:rsidRPr="008E14D7" w:rsidRDefault="009727BD" w:rsidP="008E14D7">
      <w:pPr>
        <w:ind w:left="0"/>
        <w:jc w:val="center"/>
        <w:rPr>
          <w:b/>
          <w:lang w:val="ro-RO"/>
        </w:rPr>
      </w:pPr>
      <w:r w:rsidRPr="008E14D7">
        <w:rPr>
          <w:b/>
          <w:lang w:val="ro-RO"/>
        </w:rPr>
        <w:t xml:space="preserve">REFERAT DE APROBARE </w:t>
      </w:r>
      <w:r w:rsidRPr="008E14D7">
        <w:rPr>
          <w:rFonts w:cs="Arial"/>
          <w:b/>
          <w:bCs/>
          <w:lang w:val="ro-RO"/>
        </w:rPr>
        <w:t xml:space="preserve">    </w:t>
      </w:r>
    </w:p>
    <w:p w:rsidR="009727BD" w:rsidRPr="008E14D7" w:rsidRDefault="009727BD" w:rsidP="008E14D7">
      <w:pPr>
        <w:rPr>
          <w:rFonts w:cs="Arial"/>
          <w:lang w:val="ro-RO"/>
        </w:rPr>
      </w:pPr>
      <w:r w:rsidRPr="008E14D7">
        <w:rPr>
          <w:rFonts w:cs="Arial"/>
          <w:lang w:val="ro-RO"/>
        </w:rPr>
        <w:tab/>
      </w:r>
    </w:p>
    <w:p w:rsidR="008E14D7" w:rsidRPr="008E14D7" w:rsidRDefault="008E14D7" w:rsidP="008E14D7">
      <w:pPr>
        <w:ind w:left="-851"/>
        <w:rPr>
          <w:rFonts w:cs="Arial"/>
          <w:lang w:val="ro-RO"/>
        </w:rPr>
      </w:pPr>
      <w:r w:rsidRPr="008E14D7">
        <w:rPr>
          <w:rFonts w:cs="Arial"/>
          <w:lang w:val="ro-RO"/>
        </w:rPr>
        <w:t>În conformitate cu prevederile art. 19 alin. (7), alin. (7</w:t>
      </w:r>
      <w:r w:rsidRPr="008E14D7">
        <w:rPr>
          <w:rFonts w:cs="Arial"/>
          <w:vertAlign w:val="superscript"/>
          <w:lang w:val="ro-RO"/>
        </w:rPr>
        <w:t>1</w:t>
      </w:r>
      <w:r w:rsidRPr="008E14D7">
        <w:rPr>
          <w:rFonts w:cs="Arial"/>
          <w:lang w:val="ro-RO"/>
        </w:rPr>
        <w:t>) și alin. (7</w:t>
      </w:r>
      <w:r w:rsidRPr="008E14D7">
        <w:rPr>
          <w:rFonts w:cs="Arial"/>
          <w:vertAlign w:val="superscript"/>
          <w:lang w:val="ro-RO"/>
        </w:rPr>
        <w:t>2</w:t>
      </w:r>
      <w:r w:rsidRPr="008E14D7">
        <w:rPr>
          <w:rFonts w:cs="Arial"/>
          <w:lang w:val="ro-RO"/>
        </w:rPr>
        <w:t xml:space="preserve">)  din Legea  nr. 129/2019 pentru prevenirea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combaterea spălării banilor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</w:t>
      </w:r>
      <w:proofErr w:type="spellStart"/>
      <w:r w:rsidRPr="008E14D7">
        <w:rPr>
          <w:rFonts w:cs="Arial"/>
          <w:lang w:val="ro-RO"/>
        </w:rPr>
        <w:t>finanţării</w:t>
      </w:r>
      <w:proofErr w:type="spellEnd"/>
      <w:r w:rsidRPr="008E14D7">
        <w:rPr>
          <w:rFonts w:cs="Arial"/>
          <w:lang w:val="ro-RO"/>
        </w:rPr>
        <w:t xml:space="preserve"> terorismului, precum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pentru modificarea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completarea unor acte normative, astfel cum a fost modificat de Ordonanța de urgență a Guvernului                       nr. 111/2020 privind modificarea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completarea Legii nr. 129/2019 pentru prevenirea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combaterea spălării banilor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</w:t>
      </w:r>
      <w:proofErr w:type="spellStart"/>
      <w:r w:rsidRPr="008E14D7">
        <w:rPr>
          <w:rFonts w:cs="Arial"/>
          <w:lang w:val="ro-RO"/>
        </w:rPr>
        <w:t>finanţării</w:t>
      </w:r>
      <w:proofErr w:type="spellEnd"/>
      <w:r w:rsidRPr="008E14D7">
        <w:rPr>
          <w:rFonts w:cs="Arial"/>
          <w:lang w:val="ro-RO"/>
        </w:rPr>
        <w:t xml:space="preserve"> terorismului, precum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pentru modificarea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completarea unor acte normative, pentru completarea art. 218 din </w:t>
      </w:r>
      <w:proofErr w:type="spellStart"/>
      <w:r w:rsidRPr="008E14D7">
        <w:rPr>
          <w:rFonts w:cs="Arial"/>
          <w:lang w:val="ro-RO"/>
        </w:rPr>
        <w:t>Ordonanţa</w:t>
      </w:r>
      <w:proofErr w:type="spellEnd"/>
      <w:r w:rsidRPr="008E14D7">
        <w:rPr>
          <w:rFonts w:cs="Arial"/>
          <w:lang w:val="ro-RO"/>
        </w:rPr>
        <w:t xml:space="preserve"> de </w:t>
      </w:r>
      <w:proofErr w:type="spellStart"/>
      <w:r w:rsidRPr="008E14D7">
        <w:rPr>
          <w:rFonts w:cs="Arial"/>
          <w:lang w:val="ro-RO"/>
        </w:rPr>
        <w:t>urgenţă</w:t>
      </w:r>
      <w:proofErr w:type="spellEnd"/>
      <w:r w:rsidRPr="008E14D7">
        <w:rPr>
          <w:rFonts w:cs="Arial"/>
          <w:lang w:val="ro-RO"/>
        </w:rPr>
        <w:t xml:space="preserve"> a Guvernului nr. 99/2006 privind </w:t>
      </w:r>
      <w:proofErr w:type="spellStart"/>
      <w:r w:rsidRPr="008E14D7">
        <w:rPr>
          <w:rFonts w:cs="Arial"/>
          <w:lang w:val="ro-RO"/>
        </w:rPr>
        <w:t>instituţiile</w:t>
      </w:r>
      <w:proofErr w:type="spellEnd"/>
      <w:r w:rsidRPr="008E14D7">
        <w:rPr>
          <w:rFonts w:cs="Arial"/>
          <w:lang w:val="ro-RO"/>
        </w:rPr>
        <w:t xml:space="preserve"> de credit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adecvarea capitalului, pentru modificarea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completarea Legii nr. 207/2015 privind Codul de procedură fiscală, precum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pentru completarea art. 12 alin. (5) din Legea nr. 237/2015 privind autorizarea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supravegherea </w:t>
      </w:r>
      <w:proofErr w:type="spellStart"/>
      <w:r w:rsidRPr="008E14D7">
        <w:rPr>
          <w:rFonts w:cs="Arial"/>
          <w:lang w:val="ro-RO"/>
        </w:rPr>
        <w:t>activităţii</w:t>
      </w:r>
      <w:proofErr w:type="spellEnd"/>
      <w:r w:rsidRPr="008E14D7">
        <w:rPr>
          <w:rFonts w:cs="Arial"/>
          <w:lang w:val="ro-RO"/>
        </w:rPr>
        <w:t xml:space="preserve"> de asigurare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reasigurare, autoritățile care gestionează registrele beneficiarilor reali (inclusiv Oficiul Național al Registrului Comerțului - ONRC) au obligația ca, pe baza informațiilor transmise de autoritățile care au acces la </w:t>
      </w:r>
      <w:r>
        <w:rPr>
          <w:rFonts w:cs="Arial"/>
          <w:lang w:val="ro-RO"/>
        </w:rPr>
        <w:t>r</w:t>
      </w:r>
      <w:r w:rsidRPr="008E14D7">
        <w:rPr>
          <w:rFonts w:cs="Arial"/>
          <w:lang w:val="ro-RO"/>
        </w:rPr>
        <w:t>egistr</w:t>
      </w:r>
      <w:r>
        <w:rPr>
          <w:rFonts w:cs="Arial"/>
          <w:lang w:val="ro-RO"/>
        </w:rPr>
        <w:t>ele</w:t>
      </w:r>
      <w:r w:rsidRPr="008E14D7">
        <w:rPr>
          <w:rFonts w:cs="Arial"/>
          <w:lang w:val="ro-RO"/>
        </w:rPr>
        <w:t xml:space="preserve"> central</w:t>
      </w:r>
      <w:r>
        <w:rPr>
          <w:rFonts w:cs="Arial"/>
          <w:lang w:val="ro-RO"/>
        </w:rPr>
        <w:t>e</w:t>
      </w:r>
      <w:r w:rsidRPr="008E14D7">
        <w:rPr>
          <w:rFonts w:cs="Arial"/>
          <w:lang w:val="ro-RO"/>
        </w:rPr>
        <w:t xml:space="preserve"> al beneficiarilor reali și de entitățile raportoare, să înscrie, de îndată, o </w:t>
      </w:r>
      <w:proofErr w:type="spellStart"/>
      <w:r w:rsidRPr="008E14D7">
        <w:rPr>
          <w:rFonts w:cs="Arial"/>
          <w:lang w:val="ro-RO"/>
        </w:rPr>
        <w:t>menţiune</w:t>
      </w:r>
      <w:proofErr w:type="spellEnd"/>
      <w:r w:rsidRPr="008E14D7">
        <w:rPr>
          <w:rFonts w:cs="Arial"/>
          <w:lang w:val="ro-RO"/>
        </w:rPr>
        <w:t xml:space="preserve"> provizorie cu privire la </w:t>
      </w:r>
      <w:proofErr w:type="spellStart"/>
      <w:r w:rsidRPr="008E14D7">
        <w:rPr>
          <w:rFonts w:cs="Arial"/>
          <w:lang w:val="ro-RO"/>
        </w:rPr>
        <w:t>existenţa</w:t>
      </w:r>
      <w:proofErr w:type="spellEnd"/>
      <w:r w:rsidRPr="008E14D7">
        <w:rPr>
          <w:rFonts w:cs="Arial"/>
          <w:lang w:val="ro-RO"/>
        </w:rPr>
        <w:t xml:space="preserve"> unei </w:t>
      </w:r>
      <w:proofErr w:type="spellStart"/>
      <w:r w:rsidRPr="008E14D7">
        <w:rPr>
          <w:rFonts w:cs="Arial"/>
          <w:lang w:val="ro-RO"/>
        </w:rPr>
        <w:t>neconcordanţe</w:t>
      </w:r>
      <w:proofErr w:type="spellEnd"/>
      <w:r w:rsidRPr="008E14D7">
        <w:rPr>
          <w:rFonts w:cs="Arial"/>
          <w:lang w:val="ro-RO"/>
        </w:rPr>
        <w:t xml:space="preserve"> între informațiile disponibile în </w:t>
      </w:r>
      <w:r>
        <w:rPr>
          <w:rFonts w:cs="Arial"/>
          <w:lang w:val="ro-RO"/>
        </w:rPr>
        <w:t xml:space="preserve">aceste </w:t>
      </w:r>
      <w:r w:rsidRPr="008E14D7">
        <w:rPr>
          <w:rFonts w:cs="Arial"/>
          <w:lang w:val="ro-RO"/>
        </w:rPr>
        <w:t xml:space="preserve">registre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</w:t>
      </w:r>
      <w:proofErr w:type="spellStart"/>
      <w:r w:rsidRPr="008E14D7">
        <w:rPr>
          <w:rFonts w:cs="Arial"/>
          <w:lang w:val="ro-RO"/>
        </w:rPr>
        <w:t>informaţiile</w:t>
      </w:r>
      <w:proofErr w:type="spellEnd"/>
      <w:r w:rsidRPr="008E14D7">
        <w:rPr>
          <w:rFonts w:cs="Arial"/>
          <w:lang w:val="ro-RO"/>
        </w:rPr>
        <w:t xml:space="preserve"> privind beneficiarii reali pe care le dețin. </w:t>
      </w:r>
    </w:p>
    <w:p w:rsidR="008E14D7" w:rsidRDefault="008E14D7" w:rsidP="008E14D7">
      <w:pPr>
        <w:ind w:left="-851"/>
        <w:rPr>
          <w:rFonts w:cs="Arial"/>
          <w:lang w:val="ro-RO"/>
        </w:rPr>
      </w:pPr>
      <w:r w:rsidRPr="008E14D7">
        <w:rPr>
          <w:rFonts w:cs="Arial"/>
          <w:lang w:val="ro-RO"/>
        </w:rPr>
        <w:t>În aplicarea dispoziții</w:t>
      </w:r>
      <w:r>
        <w:rPr>
          <w:rFonts w:cs="Arial"/>
          <w:lang w:val="ro-RO"/>
        </w:rPr>
        <w:t>lor</w:t>
      </w:r>
      <w:r w:rsidRPr="008E14D7">
        <w:rPr>
          <w:rFonts w:cs="Arial"/>
          <w:lang w:val="ro-RO"/>
        </w:rPr>
        <w:t xml:space="preserve"> legale</w:t>
      </w:r>
      <w:r>
        <w:rPr>
          <w:rFonts w:cs="Arial"/>
          <w:lang w:val="ro-RO"/>
        </w:rPr>
        <w:t xml:space="preserve"> </w:t>
      </w:r>
      <w:proofErr w:type="spellStart"/>
      <w:r>
        <w:rPr>
          <w:rFonts w:cs="Arial"/>
          <w:lang w:val="ro-RO"/>
        </w:rPr>
        <w:t>precitate</w:t>
      </w:r>
      <w:proofErr w:type="spellEnd"/>
      <w:r w:rsidRPr="008E14D7">
        <w:rPr>
          <w:rFonts w:cs="Arial"/>
          <w:lang w:val="ro-RO"/>
        </w:rPr>
        <w:t>, în conformitate cu prevederile art. 19 alin. (7</w:t>
      </w:r>
      <w:r w:rsidRPr="008E14D7">
        <w:rPr>
          <w:rFonts w:cs="Arial"/>
          <w:vertAlign w:val="superscript"/>
          <w:lang w:val="ro-RO"/>
        </w:rPr>
        <w:t>2</w:t>
      </w:r>
      <w:r w:rsidRPr="008E14D7">
        <w:rPr>
          <w:rFonts w:cs="Arial"/>
          <w:lang w:val="ro-RO"/>
        </w:rPr>
        <w:t xml:space="preserve">) teza finală din </w:t>
      </w:r>
      <w:r>
        <w:rPr>
          <w:rFonts w:cs="Arial"/>
          <w:lang w:val="ro-RO"/>
        </w:rPr>
        <w:t>Legea nr. 129/2019</w:t>
      </w:r>
      <w:r w:rsidRPr="008E14D7">
        <w:rPr>
          <w:rFonts w:cs="Arial"/>
          <w:lang w:val="ro-RO"/>
        </w:rPr>
        <w:t xml:space="preserve">, procedura privind înscrierea/radierea </w:t>
      </w:r>
      <w:proofErr w:type="spellStart"/>
      <w:r w:rsidRPr="008E14D7">
        <w:rPr>
          <w:rFonts w:cs="Arial"/>
          <w:lang w:val="ro-RO"/>
        </w:rPr>
        <w:t>menţiunilor</w:t>
      </w:r>
      <w:proofErr w:type="spellEnd"/>
      <w:r w:rsidRPr="008E14D7">
        <w:rPr>
          <w:rFonts w:cs="Arial"/>
          <w:lang w:val="ro-RO"/>
        </w:rPr>
        <w:t xml:space="preserve"> în/din registrele beneficiarilor reali se aprobă prin ordin al ministrului </w:t>
      </w:r>
      <w:proofErr w:type="spellStart"/>
      <w:r w:rsidRPr="008E14D7">
        <w:rPr>
          <w:rFonts w:cs="Arial"/>
          <w:lang w:val="ro-RO"/>
        </w:rPr>
        <w:t>justiţiei</w:t>
      </w:r>
      <w:proofErr w:type="spellEnd"/>
      <w:r w:rsidRPr="008E14D7">
        <w:rPr>
          <w:rFonts w:cs="Arial"/>
          <w:lang w:val="ro-RO"/>
        </w:rPr>
        <w:t xml:space="preserve"> sau prin ordin al </w:t>
      </w:r>
      <w:proofErr w:type="spellStart"/>
      <w:r w:rsidRPr="008E14D7">
        <w:rPr>
          <w:rFonts w:cs="Arial"/>
          <w:lang w:val="ro-RO"/>
        </w:rPr>
        <w:t>preşedintelui</w:t>
      </w:r>
      <w:proofErr w:type="spellEnd"/>
      <w:r w:rsidRPr="008E14D7">
        <w:rPr>
          <w:rFonts w:cs="Arial"/>
          <w:lang w:val="ro-RO"/>
        </w:rPr>
        <w:t xml:space="preserve"> </w:t>
      </w:r>
      <w:proofErr w:type="spellStart"/>
      <w:r w:rsidRPr="008E14D7">
        <w:rPr>
          <w:rFonts w:cs="Arial"/>
          <w:lang w:val="ro-RO"/>
        </w:rPr>
        <w:t>Agenţiei</w:t>
      </w:r>
      <w:proofErr w:type="spellEnd"/>
      <w:r w:rsidRPr="008E14D7">
        <w:rPr>
          <w:rFonts w:cs="Arial"/>
          <w:lang w:val="ro-RO"/>
        </w:rPr>
        <w:t xml:space="preserve"> </w:t>
      </w:r>
      <w:proofErr w:type="spellStart"/>
      <w:r w:rsidRPr="008E14D7">
        <w:rPr>
          <w:rFonts w:cs="Arial"/>
          <w:lang w:val="ro-RO"/>
        </w:rPr>
        <w:t>Naţionale</w:t>
      </w:r>
      <w:proofErr w:type="spellEnd"/>
      <w:r w:rsidRPr="008E14D7">
        <w:rPr>
          <w:rFonts w:cs="Arial"/>
          <w:lang w:val="ro-RO"/>
        </w:rPr>
        <w:t xml:space="preserve"> de Administrare Fiscală, după caz.</w:t>
      </w:r>
      <w:r>
        <w:rPr>
          <w:rFonts w:cs="Arial"/>
          <w:lang w:val="ro-RO"/>
        </w:rPr>
        <w:t xml:space="preserve"> </w:t>
      </w:r>
    </w:p>
    <w:p w:rsidR="008E14D7" w:rsidRPr="008E14D7" w:rsidRDefault="008E14D7" w:rsidP="008E14D7">
      <w:pPr>
        <w:ind w:left="-851"/>
        <w:rPr>
          <w:rFonts w:cs="Arial"/>
          <w:lang w:val="ro-RO"/>
        </w:rPr>
      </w:pPr>
      <w:r w:rsidRPr="008E14D7">
        <w:rPr>
          <w:rFonts w:cs="Arial"/>
          <w:lang w:val="ro-RO"/>
        </w:rPr>
        <w:t xml:space="preserve">Potrivit </w:t>
      </w:r>
      <w:proofErr w:type="spellStart"/>
      <w:r w:rsidRPr="008E14D7">
        <w:rPr>
          <w:rFonts w:cs="Arial"/>
          <w:lang w:val="ro-RO"/>
        </w:rPr>
        <w:t>dispoziţiilor</w:t>
      </w:r>
      <w:proofErr w:type="spellEnd"/>
      <w:r w:rsidRPr="008E14D7">
        <w:rPr>
          <w:rFonts w:cs="Arial"/>
          <w:lang w:val="ro-RO"/>
        </w:rPr>
        <w:t xml:space="preserve"> art. VIII alin. (7) din Ordonanța de urgență a Guvernului nr. 111/2020</w:t>
      </w:r>
      <w:r>
        <w:rPr>
          <w:rFonts w:cs="Arial"/>
          <w:lang w:val="ro-RO"/>
        </w:rPr>
        <w:t>,</w:t>
      </w:r>
      <w:r w:rsidRPr="008E14D7">
        <w:rPr>
          <w:rFonts w:cs="Arial"/>
          <w:lang w:val="ro-RO"/>
        </w:rPr>
        <w:t xml:space="preserve"> ordinul ministrului justiției prevăzut la art. 19 alin. (7</w:t>
      </w:r>
      <w:r w:rsidRPr="008E14D7">
        <w:rPr>
          <w:rFonts w:cs="Arial"/>
          <w:vertAlign w:val="superscript"/>
          <w:lang w:val="ro-RO"/>
        </w:rPr>
        <w:t>2</w:t>
      </w:r>
      <w:r w:rsidRPr="008E14D7">
        <w:rPr>
          <w:rFonts w:cs="Arial"/>
          <w:lang w:val="ro-RO"/>
        </w:rPr>
        <w:t xml:space="preserve">) din Legea nr. 129/2019, cu modificările ulterioare, se emite în termen de 90 de zile de la data intrării în vigoare a ordonanței (15.07.2020)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se publică în Monitorul Oficial al României, Partea I.</w:t>
      </w:r>
    </w:p>
    <w:p w:rsidR="008E14D7" w:rsidRPr="008E14D7" w:rsidRDefault="008E14D7" w:rsidP="008E14D7">
      <w:pPr>
        <w:ind w:left="-851"/>
        <w:rPr>
          <w:rFonts w:cs="Arial"/>
          <w:lang w:val="ro-RO"/>
        </w:rPr>
      </w:pPr>
      <w:r w:rsidRPr="008E14D7">
        <w:rPr>
          <w:rFonts w:cs="Arial"/>
          <w:lang w:val="ro-RO"/>
        </w:rPr>
        <w:t xml:space="preserve">Procedura privește schimbul de informații și de documente între autoritățile/ </w:t>
      </w:r>
      <w:proofErr w:type="spellStart"/>
      <w:r w:rsidRPr="008E14D7">
        <w:rPr>
          <w:rFonts w:cs="Arial"/>
          <w:lang w:val="ro-RO"/>
        </w:rPr>
        <w:t>entităţile</w:t>
      </w:r>
      <w:proofErr w:type="spellEnd"/>
      <w:r w:rsidRPr="008E14D7">
        <w:rPr>
          <w:rFonts w:cs="Arial"/>
          <w:lang w:val="ro-RO"/>
        </w:rPr>
        <w:t xml:space="preserve"> la care se referă art. 19 alin. (7) – (7</w:t>
      </w:r>
      <w:r w:rsidRPr="008E14D7">
        <w:rPr>
          <w:rFonts w:cs="Arial"/>
          <w:vertAlign w:val="superscript"/>
          <w:lang w:val="ro-RO"/>
        </w:rPr>
        <w:t>2</w:t>
      </w:r>
      <w:r w:rsidRPr="008E14D7">
        <w:rPr>
          <w:rFonts w:cs="Arial"/>
          <w:lang w:val="ro-RO"/>
        </w:rPr>
        <w:t xml:space="preserve">) din Legea nr. 129/2019, în vederea asigurării caracterului adecvat, corect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actualizat al </w:t>
      </w:r>
      <w:proofErr w:type="spellStart"/>
      <w:r w:rsidRPr="008E14D7">
        <w:rPr>
          <w:rFonts w:cs="Arial"/>
          <w:lang w:val="ro-RO"/>
        </w:rPr>
        <w:t>informaţiilor</w:t>
      </w:r>
      <w:proofErr w:type="spellEnd"/>
      <w:r w:rsidRPr="008E14D7">
        <w:rPr>
          <w:rFonts w:cs="Arial"/>
          <w:lang w:val="ro-RO"/>
        </w:rPr>
        <w:t xml:space="preserve"> cuprinse în Registrul beneficiarilor reali organizat la nivelul Oficiului </w:t>
      </w:r>
      <w:proofErr w:type="spellStart"/>
      <w:r w:rsidRPr="008E14D7">
        <w:rPr>
          <w:rFonts w:cs="Arial"/>
          <w:lang w:val="ro-RO"/>
        </w:rPr>
        <w:t>Naţional</w:t>
      </w:r>
      <w:proofErr w:type="spellEnd"/>
      <w:r w:rsidRPr="008E14D7">
        <w:rPr>
          <w:rFonts w:cs="Arial"/>
          <w:lang w:val="ro-RO"/>
        </w:rPr>
        <w:t xml:space="preserve"> al Registrului </w:t>
      </w:r>
      <w:proofErr w:type="spellStart"/>
      <w:r w:rsidRPr="008E14D7">
        <w:rPr>
          <w:rFonts w:cs="Arial"/>
          <w:lang w:val="ro-RO"/>
        </w:rPr>
        <w:t>Comerţului</w:t>
      </w:r>
      <w:proofErr w:type="spellEnd"/>
      <w:r w:rsidRPr="008E14D7">
        <w:rPr>
          <w:rFonts w:cs="Arial"/>
          <w:lang w:val="ro-RO"/>
        </w:rPr>
        <w:t xml:space="preserve"> pentru persoanele juridice care au </w:t>
      </w:r>
      <w:proofErr w:type="spellStart"/>
      <w:r w:rsidRPr="008E14D7">
        <w:rPr>
          <w:rFonts w:cs="Arial"/>
          <w:lang w:val="ro-RO"/>
        </w:rPr>
        <w:t>obligaţia</w:t>
      </w:r>
      <w:proofErr w:type="spellEnd"/>
      <w:r w:rsidRPr="008E14D7">
        <w:rPr>
          <w:rFonts w:cs="Arial"/>
          <w:lang w:val="ro-RO"/>
        </w:rPr>
        <w:t xml:space="preserve"> de înmatriculare în registrul </w:t>
      </w:r>
      <w:proofErr w:type="spellStart"/>
      <w:r w:rsidRPr="008E14D7">
        <w:rPr>
          <w:rFonts w:cs="Arial"/>
          <w:lang w:val="ro-RO"/>
        </w:rPr>
        <w:t>comerţului</w:t>
      </w:r>
      <w:proofErr w:type="spellEnd"/>
      <w:r w:rsidRPr="008E14D7">
        <w:rPr>
          <w:rFonts w:cs="Arial"/>
          <w:lang w:val="ro-RO"/>
        </w:rPr>
        <w:t xml:space="preserve">, cu </w:t>
      </w:r>
      <w:proofErr w:type="spellStart"/>
      <w:r w:rsidRPr="008E14D7">
        <w:rPr>
          <w:rFonts w:cs="Arial"/>
          <w:lang w:val="ro-RO"/>
        </w:rPr>
        <w:t>excepţia</w:t>
      </w:r>
      <w:proofErr w:type="spellEnd"/>
      <w:r w:rsidRPr="008E14D7">
        <w:rPr>
          <w:rFonts w:cs="Arial"/>
          <w:lang w:val="ro-RO"/>
        </w:rPr>
        <w:t xml:space="preserve"> regiilor autonome, companiilor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</w:t>
      </w:r>
      <w:proofErr w:type="spellStart"/>
      <w:r w:rsidRPr="008E14D7">
        <w:rPr>
          <w:rFonts w:cs="Arial"/>
          <w:lang w:val="ro-RO"/>
        </w:rPr>
        <w:t>societăţilor</w:t>
      </w:r>
      <w:proofErr w:type="spellEnd"/>
      <w:r w:rsidRPr="008E14D7">
        <w:rPr>
          <w:rFonts w:cs="Arial"/>
          <w:lang w:val="ro-RO"/>
        </w:rPr>
        <w:t xml:space="preserve"> </w:t>
      </w:r>
      <w:proofErr w:type="spellStart"/>
      <w:r w:rsidRPr="008E14D7">
        <w:rPr>
          <w:rFonts w:cs="Arial"/>
          <w:lang w:val="ro-RO"/>
        </w:rPr>
        <w:t>naţionale</w:t>
      </w:r>
      <w:proofErr w:type="spellEnd"/>
    </w:p>
    <w:p w:rsidR="008E14D7" w:rsidRPr="008E14D7" w:rsidRDefault="008E14D7" w:rsidP="008E14D7">
      <w:pPr>
        <w:ind w:left="-851"/>
        <w:rPr>
          <w:rFonts w:cs="Arial"/>
          <w:lang w:val="ro-RO"/>
        </w:rPr>
      </w:pPr>
      <w:r w:rsidRPr="008E14D7">
        <w:rPr>
          <w:rFonts w:cs="Arial"/>
          <w:lang w:val="ro-RO"/>
        </w:rPr>
        <w:t xml:space="preserve">Astfel, </w:t>
      </w:r>
      <w:proofErr w:type="spellStart"/>
      <w:r w:rsidRPr="008E14D7">
        <w:rPr>
          <w:rFonts w:cs="Arial"/>
          <w:lang w:val="ro-RO"/>
        </w:rPr>
        <w:t>autorităţile</w:t>
      </w:r>
      <w:proofErr w:type="spellEnd"/>
      <w:r w:rsidRPr="008E14D7">
        <w:rPr>
          <w:rFonts w:cs="Arial"/>
          <w:lang w:val="ro-RO"/>
        </w:rPr>
        <w:t xml:space="preserve"> care au acces la Registrul beneficiarilor reali și entitățile raportoare informează Oficiul Național pentru Prevenirea și Combaterea Spălării Banilor (ONPCSB)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Oficiul Național al Registrului Comerțului (ONRC) cu privire la orice </w:t>
      </w:r>
      <w:proofErr w:type="spellStart"/>
      <w:r w:rsidRPr="008E14D7">
        <w:rPr>
          <w:rFonts w:cs="Arial"/>
          <w:lang w:val="ro-RO"/>
        </w:rPr>
        <w:t>neconcordanţă</w:t>
      </w:r>
      <w:proofErr w:type="spellEnd"/>
      <w:r w:rsidRPr="008E14D7">
        <w:rPr>
          <w:rFonts w:cs="Arial"/>
          <w:lang w:val="ro-RO"/>
        </w:rPr>
        <w:t xml:space="preserve"> între </w:t>
      </w:r>
      <w:proofErr w:type="spellStart"/>
      <w:r w:rsidRPr="008E14D7">
        <w:rPr>
          <w:rFonts w:cs="Arial"/>
          <w:lang w:val="ro-RO"/>
        </w:rPr>
        <w:t>informaţiile</w:t>
      </w:r>
      <w:proofErr w:type="spellEnd"/>
      <w:r w:rsidRPr="008E14D7">
        <w:rPr>
          <w:rFonts w:cs="Arial"/>
          <w:lang w:val="ro-RO"/>
        </w:rPr>
        <w:t xml:space="preserve"> disponibile în Registrul beneficiarilor reali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</w:t>
      </w:r>
      <w:proofErr w:type="spellStart"/>
      <w:r w:rsidRPr="008E14D7">
        <w:rPr>
          <w:rFonts w:cs="Arial"/>
          <w:lang w:val="ro-RO"/>
        </w:rPr>
        <w:t>informaţiile</w:t>
      </w:r>
      <w:proofErr w:type="spellEnd"/>
      <w:r w:rsidRPr="008E14D7">
        <w:rPr>
          <w:rFonts w:cs="Arial"/>
          <w:lang w:val="ro-RO"/>
        </w:rPr>
        <w:t xml:space="preserve"> privind beneficiarii reali pe care le </w:t>
      </w:r>
      <w:proofErr w:type="spellStart"/>
      <w:r w:rsidRPr="008E14D7">
        <w:rPr>
          <w:rFonts w:cs="Arial"/>
          <w:lang w:val="ro-RO"/>
        </w:rPr>
        <w:t>deţin</w:t>
      </w:r>
      <w:proofErr w:type="spellEnd"/>
      <w:r w:rsidRPr="008E14D7">
        <w:rPr>
          <w:rFonts w:cs="Arial"/>
          <w:lang w:val="ro-RO"/>
        </w:rPr>
        <w:t xml:space="preserve">.  </w:t>
      </w:r>
    </w:p>
    <w:p w:rsidR="008E14D7" w:rsidRPr="008E14D7" w:rsidRDefault="008E14D7" w:rsidP="008E14D7">
      <w:pPr>
        <w:ind w:left="-851"/>
        <w:rPr>
          <w:rFonts w:cs="Arial"/>
          <w:lang w:val="ro-RO"/>
        </w:rPr>
      </w:pPr>
      <w:r w:rsidRPr="008E14D7">
        <w:rPr>
          <w:rFonts w:cs="Arial"/>
          <w:lang w:val="ro-RO"/>
        </w:rPr>
        <w:lastRenderedPageBreak/>
        <w:t xml:space="preserve">Pe baza informațiilor transmise, ONRC va înscrie, din oficiu, în Registrul beneficiarilor reali, o </w:t>
      </w:r>
      <w:proofErr w:type="spellStart"/>
      <w:r w:rsidRPr="008E14D7">
        <w:rPr>
          <w:rFonts w:cs="Arial"/>
          <w:lang w:val="ro-RO"/>
        </w:rPr>
        <w:t>menţiune</w:t>
      </w:r>
      <w:proofErr w:type="spellEnd"/>
      <w:r w:rsidRPr="008E14D7">
        <w:rPr>
          <w:rFonts w:cs="Arial"/>
          <w:lang w:val="ro-RO"/>
        </w:rPr>
        <w:t xml:space="preserve"> provizorie cu privire la </w:t>
      </w:r>
      <w:proofErr w:type="spellStart"/>
      <w:r w:rsidRPr="008E14D7">
        <w:rPr>
          <w:rFonts w:cs="Arial"/>
          <w:lang w:val="ro-RO"/>
        </w:rPr>
        <w:t>existenţa</w:t>
      </w:r>
      <w:proofErr w:type="spellEnd"/>
      <w:r w:rsidRPr="008E14D7">
        <w:rPr>
          <w:rFonts w:cs="Arial"/>
          <w:lang w:val="ro-RO"/>
        </w:rPr>
        <w:t xml:space="preserve"> </w:t>
      </w:r>
      <w:proofErr w:type="spellStart"/>
      <w:r w:rsidRPr="008E14D7">
        <w:rPr>
          <w:rFonts w:cs="Arial"/>
          <w:lang w:val="ro-RO"/>
        </w:rPr>
        <w:t>neconcordanţei</w:t>
      </w:r>
      <w:proofErr w:type="spellEnd"/>
      <w:r w:rsidRPr="008E14D7">
        <w:rPr>
          <w:rFonts w:cs="Arial"/>
          <w:lang w:val="ro-RO"/>
        </w:rPr>
        <w:t xml:space="preserve"> privind datele înregistrate anterior în Registrul beneficiarilor reali.</w:t>
      </w:r>
      <w:r>
        <w:rPr>
          <w:rFonts w:cs="Arial"/>
          <w:lang w:val="ro-RO"/>
        </w:rPr>
        <w:t xml:space="preserve"> </w:t>
      </w:r>
      <w:r w:rsidRPr="008E14D7">
        <w:rPr>
          <w:rFonts w:cs="Arial"/>
          <w:lang w:val="ro-RO"/>
        </w:rPr>
        <w:t>Mențiunea provizorie înscrisă de ONRC se radiază, în baza solicitării ONPCSB, care, potrivit art. 19 alin. (7</w:t>
      </w:r>
      <w:r w:rsidRPr="008E14D7">
        <w:rPr>
          <w:rFonts w:cs="Arial"/>
          <w:vertAlign w:val="superscript"/>
          <w:lang w:val="ro-RO"/>
        </w:rPr>
        <w:t>2</w:t>
      </w:r>
      <w:r w:rsidRPr="008E14D7">
        <w:rPr>
          <w:rFonts w:cs="Arial"/>
          <w:lang w:val="ro-RO"/>
        </w:rPr>
        <w:t xml:space="preserve">), are competența de a soluționa  neconcordanța cu care a fost sesizat de către de către autoritățile care au acces la registrul beneficiarilor reali sau de către entitățile raportoare, </w:t>
      </w:r>
      <w:proofErr w:type="spellStart"/>
      <w:r w:rsidRPr="008E14D7">
        <w:rPr>
          <w:rFonts w:cs="Arial"/>
          <w:lang w:val="ro-RO"/>
        </w:rPr>
        <w:t>şi</w:t>
      </w:r>
      <w:proofErr w:type="spellEnd"/>
      <w:r w:rsidRPr="008E14D7">
        <w:rPr>
          <w:rFonts w:cs="Arial"/>
          <w:lang w:val="ro-RO"/>
        </w:rPr>
        <w:t xml:space="preserve"> păstrează datele înscrise anterior înregistrării </w:t>
      </w:r>
      <w:proofErr w:type="spellStart"/>
      <w:r w:rsidRPr="008E14D7">
        <w:rPr>
          <w:rFonts w:cs="Arial"/>
          <w:lang w:val="ro-RO"/>
        </w:rPr>
        <w:t>menţiunii</w:t>
      </w:r>
      <w:proofErr w:type="spellEnd"/>
      <w:r w:rsidRPr="008E14D7">
        <w:rPr>
          <w:rFonts w:cs="Arial"/>
          <w:lang w:val="ro-RO"/>
        </w:rPr>
        <w:t xml:space="preserve"> </w:t>
      </w:r>
    </w:p>
    <w:p w:rsidR="008E14D7" w:rsidRPr="008E14D7" w:rsidRDefault="008E14D7" w:rsidP="008E14D7">
      <w:pPr>
        <w:ind w:left="-851"/>
        <w:rPr>
          <w:rFonts w:cs="Arial"/>
          <w:lang w:val="ro-RO"/>
        </w:rPr>
      </w:pPr>
      <w:r w:rsidRPr="008E14D7">
        <w:rPr>
          <w:rFonts w:cs="Arial"/>
          <w:lang w:val="ro-RO"/>
        </w:rPr>
        <w:t>Din rațiuni de celeritate, în proiect se propune transmiterea pe cale electronică, prin adresă semnată electronic cu semnătură calificată, a solicitării ONPCSB de radiere a mențiunii</w:t>
      </w:r>
      <w:r>
        <w:rPr>
          <w:rFonts w:cs="Arial"/>
          <w:lang w:val="ro-RO"/>
        </w:rPr>
        <w:t xml:space="preserve"> provizorii.</w:t>
      </w:r>
    </w:p>
    <w:p w:rsidR="008E14D7" w:rsidRPr="008E14D7" w:rsidRDefault="008E14D7" w:rsidP="008E14D7">
      <w:pPr>
        <w:ind w:left="-851"/>
        <w:rPr>
          <w:rFonts w:cs="Arial"/>
          <w:lang w:val="ro-RO"/>
        </w:rPr>
      </w:pPr>
      <w:r w:rsidRPr="008E14D7">
        <w:rPr>
          <w:rFonts w:cs="Arial"/>
          <w:lang w:val="ro-RO"/>
        </w:rPr>
        <w:t>Față de cele prezentate, a fost elaborat prezentul proiect de ordin pentru aprobarea procedurii de înscriere/radiere a mențiunilor provizorii în/din Registrul beneficiarilor reali.</w:t>
      </w:r>
    </w:p>
    <w:p w:rsidR="00B16F0A" w:rsidRPr="008E14D7" w:rsidRDefault="00B16F0A" w:rsidP="008E14D7">
      <w:pPr>
        <w:ind w:left="-900"/>
        <w:rPr>
          <w:bCs/>
          <w:lang w:val="ro-RO"/>
        </w:rPr>
      </w:pPr>
    </w:p>
    <w:p w:rsidR="001266FA" w:rsidRPr="008E14D7" w:rsidRDefault="001266FA" w:rsidP="008E14D7">
      <w:pPr>
        <w:jc w:val="right"/>
        <w:rPr>
          <w:i/>
          <w:u w:val="single"/>
          <w:lang w:val="ro-RO"/>
        </w:rPr>
      </w:pPr>
      <w:bookmarkStart w:id="0" w:name="_GoBack"/>
      <w:bookmarkEnd w:id="0"/>
    </w:p>
    <w:p w:rsidR="00FC7D65" w:rsidRPr="008E14D7" w:rsidRDefault="00FC7D65" w:rsidP="008E14D7">
      <w:pPr>
        <w:ind w:left="0"/>
        <w:jc w:val="center"/>
        <w:rPr>
          <w:rFonts w:eastAsia="Times New Roman"/>
          <w:lang w:val="ro-RO"/>
        </w:rPr>
      </w:pPr>
    </w:p>
    <w:sectPr w:rsidR="00FC7D65" w:rsidRPr="008E14D7" w:rsidSect="005848A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8" w:right="567" w:bottom="1418" w:left="226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6A1" w:rsidRDefault="004946A1" w:rsidP="00CD5B3B">
      <w:r>
        <w:separator/>
      </w:r>
    </w:p>
  </w:endnote>
  <w:endnote w:type="continuationSeparator" w:id="0">
    <w:p w:rsidR="004946A1" w:rsidRDefault="004946A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363"/>
    </w:tblGrid>
    <w:tr w:rsidR="00391CD5" w:rsidRPr="00405B2D" w:rsidTr="00F544B3">
      <w:tc>
        <w:tcPr>
          <w:tcW w:w="1566" w:type="dxa"/>
          <w:shd w:val="clear" w:color="auto" w:fill="auto"/>
        </w:tcPr>
        <w:p w:rsidR="00391CD5" w:rsidRDefault="00391CD5" w:rsidP="00391CD5">
          <w:pPr>
            <w:ind w:left="33"/>
          </w:pPr>
          <w:r>
            <w:rPr>
              <w:noProof/>
              <w:lang w:val="ro-RO" w:eastAsia="ro-RO"/>
            </w:rPr>
            <w:drawing>
              <wp:inline distT="0" distB="0" distL="0" distR="0" wp14:anchorId="5EBE7A09" wp14:editId="4C5C9957">
                <wp:extent cx="314325" cy="314325"/>
                <wp:effectExtent l="0" t="0" r="9525" b="9525"/>
                <wp:docPr id="1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ro-RO" w:eastAsia="ro-RO"/>
            </w:rPr>
            <w:drawing>
              <wp:inline distT="0" distB="0" distL="0" distR="0" wp14:anchorId="177371EE" wp14:editId="42E66A56">
                <wp:extent cx="311150" cy="311150"/>
                <wp:effectExtent l="0" t="0" r="0" b="0"/>
                <wp:docPr id="2" name="I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391CD5" w:rsidRPr="00036CF6" w:rsidRDefault="00391CD5" w:rsidP="00391CD5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391CD5" w:rsidRPr="00036CF6" w:rsidRDefault="00391CD5" w:rsidP="00391CD5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 xml:space="preserve">Str. </w:t>
          </w:r>
          <w:proofErr w:type="spellStart"/>
          <w:r w:rsidRPr="00036CF6">
            <w:rPr>
              <w:sz w:val="14"/>
              <w:szCs w:val="14"/>
            </w:rPr>
            <w:t>Apolodor</w:t>
          </w:r>
          <w:proofErr w:type="spellEnd"/>
          <w:r w:rsidRPr="00036CF6">
            <w:rPr>
              <w:sz w:val="14"/>
              <w:szCs w:val="14"/>
            </w:rPr>
            <w:t xml:space="preserve"> nr. 17, sector 5, 050741 </w:t>
          </w:r>
          <w:proofErr w:type="spellStart"/>
          <w:r w:rsidRPr="00036CF6">
            <w:rPr>
              <w:sz w:val="14"/>
              <w:szCs w:val="14"/>
            </w:rPr>
            <w:t>Bucureşti</w:t>
          </w:r>
          <w:proofErr w:type="spellEnd"/>
          <w:r w:rsidRPr="00036CF6">
            <w:rPr>
              <w:sz w:val="14"/>
              <w:szCs w:val="14"/>
            </w:rPr>
            <w:t xml:space="preserve">, </w:t>
          </w:r>
          <w:proofErr w:type="spellStart"/>
          <w:r w:rsidRPr="00036CF6">
            <w:rPr>
              <w:sz w:val="14"/>
              <w:szCs w:val="14"/>
            </w:rPr>
            <w:t>România</w:t>
          </w:r>
          <w:proofErr w:type="spellEnd"/>
        </w:p>
        <w:p w:rsidR="00391CD5" w:rsidRPr="00036CF6" w:rsidRDefault="00391CD5" w:rsidP="00391CD5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:rsidR="00391CD5" w:rsidRPr="00036CF6" w:rsidRDefault="004946A1" w:rsidP="00391CD5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="00391CD5" w:rsidRPr="00036CF6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391CD5" w:rsidRPr="00036CF6" w:rsidRDefault="00391CD5" w:rsidP="00391CD5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3363" w:type="dxa"/>
          <w:shd w:val="clear" w:color="auto" w:fill="auto"/>
        </w:tcPr>
        <w:p w:rsidR="00391CD5" w:rsidRPr="00452DF6" w:rsidRDefault="00391CD5" w:rsidP="00391CD5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proofErr w:type="spellStart"/>
          <w:r w:rsidRPr="00452DF6">
            <w:rPr>
              <w:sz w:val="14"/>
              <w:szCs w:val="14"/>
              <w:lang w:val="es-ES"/>
            </w:rPr>
            <w:t>Pagina</w:t>
          </w:r>
          <w:proofErr w:type="spellEnd"/>
          <w:r w:rsidRPr="00452DF6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  <w:lang w:val="es-ES"/>
            </w:rPr>
            <w:t>1</w:t>
          </w:r>
          <w:r w:rsidRPr="00036CF6">
            <w:rPr>
              <w:sz w:val="14"/>
              <w:szCs w:val="14"/>
            </w:rPr>
            <w:fldChar w:fldCharType="end"/>
          </w:r>
          <w:r w:rsidRPr="00452DF6">
            <w:rPr>
              <w:sz w:val="14"/>
              <w:szCs w:val="14"/>
              <w:lang w:val="es-ES"/>
            </w:rPr>
            <w:t xml:space="preserve"> din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4C7AD2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</w:p>
        <w:p w:rsidR="00391CD5" w:rsidRPr="00452DF6" w:rsidRDefault="00391CD5" w:rsidP="00391CD5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391CD5" w:rsidRPr="00036CF6" w:rsidRDefault="00391CD5" w:rsidP="00391CD5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  <w:r>
            <w:rPr>
              <w:sz w:val="14"/>
              <w:szCs w:val="14"/>
              <w:lang w:val="es-ES"/>
            </w:rPr>
            <w:t>COD: FS-01-05-ver.5</w:t>
          </w:r>
        </w:p>
      </w:tc>
    </w:tr>
  </w:tbl>
  <w:p w:rsidR="00391CD5" w:rsidRDefault="00391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363"/>
    </w:tblGrid>
    <w:tr w:rsidR="00871FC1" w:rsidRPr="00405B2D" w:rsidTr="002653E8">
      <w:tc>
        <w:tcPr>
          <w:tcW w:w="1566" w:type="dxa"/>
          <w:shd w:val="clear" w:color="auto" w:fill="auto"/>
        </w:tcPr>
        <w:p w:rsidR="00260CC2" w:rsidRDefault="00260CC2" w:rsidP="00260CC2">
          <w:pPr>
            <w:ind w:left="33"/>
          </w:pPr>
          <w:r>
            <w:rPr>
              <w:noProof/>
              <w:lang w:val="ro-RO" w:eastAsia="ro-RO"/>
            </w:rPr>
            <w:drawing>
              <wp:inline distT="0" distB="0" distL="0" distR="0" wp14:anchorId="7835C069" wp14:editId="41236F4F">
                <wp:extent cx="314325" cy="314325"/>
                <wp:effectExtent l="0" t="0" r="9525" b="9525"/>
                <wp:docPr id="4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0480E">
            <w:rPr>
              <w:noProof/>
              <w:lang w:val="ro-RO" w:eastAsia="ro-RO"/>
            </w:rPr>
            <w:drawing>
              <wp:inline distT="0" distB="0" distL="0" distR="0" wp14:anchorId="239A6D69" wp14:editId="766411FC">
                <wp:extent cx="311150" cy="311150"/>
                <wp:effectExtent l="0" t="0" r="0" b="0"/>
                <wp:docPr id="12" name="I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71FC1" w:rsidRPr="00036C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871FC1" w:rsidRPr="00036C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 xml:space="preserve">Str. </w:t>
          </w:r>
          <w:proofErr w:type="spellStart"/>
          <w:r w:rsidRPr="00036CF6">
            <w:rPr>
              <w:sz w:val="14"/>
              <w:szCs w:val="14"/>
            </w:rPr>
            <w:t>Apolodor</w:t>
          </w:r>
          <w:proofErr w:type="spellEnd"/>
          <w:r w:rsidRPr="00036CF6">
            <w:rPr>
              <w:sz w:val="14"/>
              <w:szCs w:val="14"/>
            </w:rPr>
            <w:t xml:space="preserve"> nr. 17, sector 5, 050741 </w:t>
          </w:r>
          <w:proofErr w:type="spellStart"/>
          <w:r w:rsidRPr="00036CF6">
            <w:rPr>
              <w:sz w:val="14"/>
              <w:szCs w:val="14"/>
            </w:rPr>
            <w:t>Bucureşti</w:t>
          </w:r>
          <w:proofErr w:type="spellEnd"/>
          <w:r w:rsidRPr="00036CF6">
            <w:rPr>
              <w:sz w:val="14"/>
              <w:szCs w:val="14"/>
            </w:rPr>
            <w:t xml:space="preserve">, </w:t>
          </w:r>
          <w:proofErr w:type="spellStart"/>
          <w:r w:rsidRPr="00036CF6">
            <w:rPr>
              <w:sz w:val="14"/>
              <w:szCs w:val="14"/>
            </w:rPr>
            <w:t>România</w:t>
          </w:r>
          <w:proofErr w:type="spellEnd"/>
        </w:p>
        <w:p w:rsidR="00871FC1" w:rsidRPr="00036CF6" w:rsidRDefault="00871FC1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:rsidR="00871FC1" w:rsidRPr="00036CF6" w:rsidRDefault="004946A1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="00871FC1" w:rsidRPr="00036CF6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871FC1" w:rsidRPr="00036C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3363" w:type="dxa"/>
          <w:shd w:val="clear" w:color="auto" w:fill="auto"/>
        </w:tcPr>
        <w:p w:rsidR="00871FC1" w:rsidRPr="00452D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proofErr w:type="spellStart"/>
          <w:r w:rsidRPr="00452DF6">
            <w:rPr>
              <w:sz w:val="14"/>
              <w:szCs w:val="14"/>
              <w:lang w:val="es-ES"/>
            </w:rPr>
            <w:t>Pagina</w:t>
          </w:r>
          <w:proofErr w:type="spellEnd"/>
          <w:r w:rsidRPr="00452DF6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80480E">
            <w:rPr>
              <w:noProof/>
              <w:sz w:val="14"/>
              <w:szCs w:val="14"/>
              <w:lang w:val="es-ES"/>
            </w:rPr>
            <w:t>1</w:t>
          </w:r>
          <w:r w:rsidRPr="00036CF6">
            <w:rPr>
              <w:sz w:val="14"/>
              <w:szCs w:val="14"/>
            </w:rPr>
            <w:fldChar w:fldCharType="end"/>
          </w:r>
          <w:r w:rsidRPr="00452DF6">
            <w:rPr>
              <w:sz w:val="14"/>
              <w:szCs w:val="14"/>
              <w:lang w:val="es-ES"/>
            </w:rPr>
            <w:t xml:space="preserve"> din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4C7AD2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</w:p>
        <w:p w:rsidR="00871FC1" w:rsidRPr="00452D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871FC1" w:rsidRPr="00036CF6" w:rsidRDefault="00327FF6" w:rsidP="00871FC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  <w:r>
            <w:rPr>
              <w:sz w:val="14"/>
              <w:szCs w:val="14"/>
              <w:lang w:val="es-ES"/>
            </w:rPr>
            <w:t>COD: FS-01-05-ver.5</w:t>
          </w:r>
        </w:p>
      </w:tc>
    </w:tr>
  </w:tbl>
  <w:p w:rsidR="00871FC1" w:rsidRPr="005848A2" w:rsidRDefault="00871FC1" w:rsidP="0064218B">
    <w:pPr>
      <w:ind w:left="0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6A1" w:rsidRDefault="004946A1" w:rsidP="00E06A2C">
      <w:pPr>
        <w:spacing w:after="0"/>
        <w:ind w:left="0"/>
      </w:pPr>
      <w:r>
        <w:separator/>
      </w:r>
    </w:p>
  </w:footnote>
  <w:footnote w:type="continuationSeparator" w:id="0">
    <w:p w:rsidR="004946A1" w:rsidRDefault="004946A1" w:rsidP="00E06A2C">
      <w:pPr>
        <w:ind w:left="0"/>
      </w:pPr>
      <w:r>
        <w:continuationSeparator/>
      </w:r>
    </w:p>
  </w:footnote>
  <w:footnote w:type="continuationNotice" w:id="1">
    <w:p w:rsidR="004946A1" w:rsidRDefault="004946A1" w:rsidP="00E06A2C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C1" w:rsidRDefault="00871FC1" w:rsidP="008A4458">
    <w:pPr>
      <w:pStyle w:val="Header"/>
      <w:ind w:left="0"/>
    </w:pPr>
  </w:p>
  <w:p w:rsidR="00871FC1" w:rsidRPr="00CD5B3B" w:rsidRDefault="00871FC1" w:rsidP="008A4458">
    <w:pPr>
      <w:pStyle w:val="Header"/>
      <w:ind w:left="0"/>
    </w:pPr>
    <w:r>
      <w:rPr>
        <w:noProof/>
        <w:lang w:val="ro-RO" w:eastAsia="ro-RO"/>
      </w:rPr>
      <w:drawing>
        <wp:inline distT="0" distB="0" distL="0" distR="0" wp14:anchorId="2B18CA6B" wp14:editId="711A4143">
          <wp:extent cx="1959610" cy="201930"/>
          <wp:effectExtent l="0" t="0" r="2540" b="7620"/>
          <wp:docPr id="9" name="Picture 31" descr="D:\Profiles\Viorel.Streza\Desktop\template min 4 radu\logo_antet\logo_antet_MJ_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Profiles\Viorel.Streza\Desktop\template min 4 radu\logo_antet\logo_antet_MJ_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C1" w:rsidRPr="00405B2D" w:rsidRDefault="00405B2D" w:rsidP="00405B2D">
    <w:pPr>
      <w:pStyle w:val="Header"/>
      <w:tabs>
        <w:tab w:val="clear" w:pos="8640"/>
      </w:tabs>
      <w:ind w:left="-1701" w:right="-291"/>
    </w:pPr>
    <w:r>
      <w:rPr>
        <w:noProof/>
        <w:lang w:val="ro-RO" w:eastAsia="ro-RO"/>
      </w:rPr>
      <w:drawing>
        <wp:inline distT="0" distB="0" distL="0" distR="0" wp14:anchorId="6E6837BF" wp14:editId="2F2F8696">
          <wp:extent cx="2816860" cy="902335"/>
          <wp:effectExtent l="0" t="0" r="254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ro-RO" w:eastAsia="ro-RO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A17FF"/>
    <w:multiLevelType w:val="hybridMultilevel"/>
    <w:tmpl w:val="AF4C847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23330"/>
    <w:rsid w:val="00036CF6"/>
    <w:rsid w:val="000A06C2"/>
    <w:rsid w:val="000B5F93"/>
    <w:rsid w:val="000E5E43"/>
    <w:rsid w:val="000F52D3"/>
    <w:rsid w:val="00100F36"/>
    <w:rsid w:val="00101A43"/>
    <w:rsid w:val="00101E48"/>
    <w:rsid w:val="001266FA"/>
    <w:rsid w:val="001313F2"/>
    <w:rsid w:val="00212A34"/>
    <w:rsid w:val="00251176"/>
    <w:rsid w:val="00260CC2"/>
    <w:rsid w:val="002653E8"/>
    <w:rsid w:val="0026643B"/>
    <w:rsid w:val="002A5742"/>
    <w:rsid w:val="002B0AF2"/>
    <w:rsid w:val="002B2D08"/>
    <w:rsid w:val="002B6AF3"/>
    <w:rsid w:val="002C400C"/>
    <w:rsid w:val="002C5E09"/>
    <w:rsid w:val="00304D05"/>
    <w:rsid w:val="00312E32"/>
    <w:rsid w:val="00317136"/>
    <w:rsid w:val="0032422C"/>
    <w:rsid w:val="00327FF6"/>
    <w:rsid w:val="00331E8F"/>
    <w:rsid w:val="00331F48"/>
    <w:rsid w:val="003406E1"/>
    <w:rsid w:val="00377C44"/>
    <w:rsid w:val="00391CD5"/>
    <w:rsid w:val="00405B2D"/>
    <w:rsid w:val="004208CB"/>
    <w:rsid w:val="004278D2"/>
    <w:rsid w:val="00452DF6"/>
    <w:rsid w:val="004608DF"/>
    <w:rsid w:val="00462299"/>
    <w:rsid w:val="00474F80"/>
    <w:rsid w:val="004914E8"/>
    <w:rsid w:val="00493AD5"/>
    <w:rsid w:val="004946A1"/>
    <w:rsid w:val="004A4A94"/>
    <w:rsid w:val="004C1753"/>
    <w:rsid w:val="004C7AD2"/>
    <w:rsid w:val="004F094D"/>
    <w:rsid w:val="00510775"/>
    <w:rsid w:val="00523C70"/>
    <w:rsid w:val="00543045"/>
    <w:rsid w:val="005848A2"/>
    <w:rsid w:val="005E5412"/>
    <w:rsid w:val="005E6FFA"/>
    <w:rsid w:val="00604DD4"/>
    <w:rsid w:val="0064218B"/>
    <w:rsid w:val="00662077"/>
    <w:rsid w:val="00677FEB"/>
    <w:rsid w:val="006A018E"/>
    <w:rsid w:val="006A263E"/>
    <w:rsid w:val="006B528B"/>
    <w:rsid w:val="00705CEB"/>
    <w:rsid w:val="00722BEC"/>
    <w:rsid w:val="00725F2C"/>
    <w:rsid w:val="00743D2D"/>
    <w:rsid w:val="00766E0E"/>
    <w:rsid w:val="0077516C"/>
    <w:rsid w:val="00783581"/>
    <w:rsid w:val="0079198E"/>
    <w:rsid w:val="007B625E"/>
    <w:rsid w:val="0080480E"/>
    <w:rsid w:val="00821655"/>
    <w:rsid w:val="008231E2"/>
    <w:rsid w:val="00831A4E"/>
    <w:rsid w:val="00835599"/>
    <w:rsid w:val="00840F14"/>
    <w:rsid w:val="00861DE2"/>
    <w:rsid w:val="00871DA8"/>
    <w:rsid w:val="00871FC1"/>
    <w:rsid w:val="008912B6"/>
    <w:rsid w:val="008A2AC0"/>
    <w:rsid w:val="008A4458"/>
    <w:rsid w:val="008B63B2"/>
    <w:rsid w:val="008E09D0"/>
    <w:rsid w:val="008E14D7"/>
    <w:rsid w:val="00915096"/>
    <w:rsid w:val="00927141"/>
    <w:rsid w:val="00932975"/>
    <w:rsid w:val="0094530E"/>
    <w:rsid w:val="009727BD"/>
    <w:rsid w:val="009B26D0"/>
    <w:rsid w:val="009B4F4C"/>
    <w:rsid w:val="009D57F4"/>
    <w:rsid w:val="009E7609"/>
    <w:rsid w:val="009F7FDF"/>
    <w:rsid w:val="00A13890"/>
    <w:rsid w:val="00A15988"/>
    <w:rsid w:val="00A21436"/>
    <w:rsid w:val="00A223E9"/>
    <w:rsid w:val="00A50C4C"/>
    <w:rsid w:val="00A5589B"/>
    <w:rsid w:val="00A7669D"/>
    <w:rsid w:val="00A853ED"/>
    <w:rsid w:val="00AC3A35"/>
    <w:rsid w:val="00AE26B4"/>
    <w:rsid w:val="00B13BB4"/>
    <w:rsid w:val="00B16F0A"/>
    <w:rsid w:val="00B21F71"/>
    <w:rsid w:val="00B3065C"/>
    <w:rsid w:val="00B60596"/>
    <w:rsid w:val="00B60F95"/>
    <w:rsid w:val="00C05271"/>
    <w:rsid w:val="00C05F49"/>
    <w:rsid w:val="00C206F7"/>
    <w:rsid w:val="00C20EF1"/>
    <w:rsid w:val="00C54591"/>
    <w:rsid w:val="00CA37EF"/>
    <w:rsid w:val="00CC7859"/>
    <w:rsid w:val="00CD0C6C"/>
    <w:rsid w:val="00CD0F06"/>
    <w:rsid w:val="00CD5B3B"/>
    <w:rsid w:val="00D0182A"/>
    <w:rsid w:val="00D06E9C"/>
    <w:rsid w:val="00D10234"/>
    <w:rsid w:val="00D240CB"/>
    <w:rsid w:val="00D434B8"/>
    <w:rsid w:val="00D50351"/>
    <w:rsid w:val="00D86F1D"/>
    <w:rsid w:val="00DC39D2"/>
    <w:rsid w:val="00DD27CB"/>
    <w:rsid w:val="00DF05AA"/>
    <w:rsid w:val="00DF0E94"/>
    <w:rsid w:val="00E06A2C"/>
    <w:rsid w:val="00E11F85"/>
    <w:rsid w:val="00E562FC"/>
    <w:rsid w:val="00E56667"/>
    <w:rsid w:val="00E80A27"/>
    <w:rsid w:val="00E80D5E"/>
    <w:rsid w:val="00E870FD"/>
    <w:rsid w:val="00E94670"/>
    <w:rsid w:val="00EA0F6C"/>
    <w:rsid w:val="00EB710B"/>
    <w:rsid w:val="00ED56C3"/>
    <w:rsid w:val="00EE32F2"/>
    <w:rsid w:val="00F56471"/>
    <w:rsid w:val="00F67D20"/>
    <w:rsid w:val="00FA7368"/>
    <w:rsid w:val="00FB6D27"/>
    <w:rsid w:val="00FC0F5B"/>
    <w:rsid w:val="00FC4284"/>
    <w:rsid w:val="00FC7D65"/>
    <w:rsid w:val="00FE2F2C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7C191"/>
  <w14:defaultImageDpi w14:val="300"/>
  <w15:docId w15:val="{0FE28D9A-83E7-4A70-BA28-01DF62D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F2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64218B"/>
    <w:pPr>
      <w:spacing w:line="480" w:lineRule="auto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421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351"/>
    <w:pPr>
      <w:ind w:left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351"/>
    <w:rPr>
      <w:rFonts w:ascii="Trebuchet MS" w:hAnsi="Trebuchet MS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E06A2C"/>
    <w:rPr>
      <w:rFonts w:ascii="Trebuchet MS" w:hAnsi="Trebuchet MS"/>
      <w:sz w:val="22"/>
      <w:vertAlign w:val="superscript"/>
    </w:rPr>
  </w:style>
  <w:style w:type="table" w:customStyle="1" w:styleId="Tabelgril1">
    <w:name w:val="Tabel grilă1"/>
    <w:basedOn w:val="TableNormal"/>
    <w:next w:val="TableGrid"/>
    <w:uiPriority w:val="59"/>
    <w:rsid w:val="00523C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7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D65"/>
    <w:pPr>
      <w:spacing w:after="160" w:line="240" w:lineRule="auto"/>
      <w:ind w:left="0"/>
      <w:jc w:val="left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D65"/>
    <w:rPr>
      <w:rFonts w:asciiTheme="minorHAnsi" w:eastAsiaTheme="minorHAnsi" w:hAnsiTheme="minorHAnsi" w:cstheme="minorBidi"/>
      <w:lang w:val="ro-RO"/>
    </w:rPr>
  </w:style>
  <w:style w:type="paragraph" w:styleId="ListParagraph">
    <w:name w:val="List Paragraph"/>
    <w:basedOn w:val="Normal"/>
    <w:uiPriority w:val="34"/>
    <w:qFormat/>
    <w:rsid w:val="001266F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ro-RO"/>
    </w:rPr>
  </w:style>
  <w:style w:type="character" w:customStyle="1" w:styleId="do1">
    <w:name w:val="do1"/>
    <w:basedOn w:val="DefaultParagraphFont"/>
    <w:rsid w:val="009727BD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968F-6DE8-46F7-91FD-7FAF776B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MJ</cp:lastModifiedBy>
  <cp:revision>2</cp:revision>
  <cp:lastPrinted>2014-03-11T14:29:00Z</cp:lastPrinted>
  <dcterms:created xsi:type="dcterms:W3CDTF">2020-10-12T07:29:00Z</dcterms:created>
  <dcterms:modified xsi:type="dcterms:W3CDTF">2020-10-12T07:29:00Z</dcterms:modified>
</cp:coreProperties>
</file>