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DAC5" w14:textId="061CD42C" w:rsidR="0053453D" w:rsidRDefault="0053453D" w:rsidP="005345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EXTRAS </w:t>
      </w:r>
    </w:p>
    <w:p w14:paraId="1B044353" w14:textId="77777777" w:rsidR="0053453D" w:rsidRDefault="0053453D" w:rsidP="005345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</w:pPr>
    </w:p>
    <w:p w14:paraId="3E5B5FE1" w14:textId="2E6F3C41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ORDONANŢĂ DE URGENŢĂ nr. 70 din 14 mai 2020 privind reglementarea unor măsuri, începând cu data de 15 mai 2020, în contextul </w:t>
      </w:r>
      <w:proofErr w:type="spellStart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situaţiei</w:t>
      </w:r>
      <w:proofErr w:type="spellEnd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epidemiologice determinate de răspândirea coronavirusului SARS-CoV-2, pentru prelungirea unor termene, pentru modificarea </w:t>
      </w:r>
      <w:proofErr w:type="spellStart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completarea Legii nr. </w:t>
      </w:r>
      <w:hyperlink r:id="rId4" w:history="1">
        <w:r w:rsidRPr="0053453D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227/2015</w:t>
        </w:r>
      </w:hyperlink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</w:t>
      </w:r>
      <w:hyperlink r:id="rId5" w:history="1">
        <w:r w:rsidRPr="0053453D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Codul fiscal</w:t>
        </w:r>
      </w:hyperlink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, a Legii </w:t>
      </w:r>
      <w:proofErr w:type="spellStart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educaţiei</w:t>
      </w:r>
      <w:proofErr w:type="spellEnd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</w:t>
      </w:r>
      <w:proofErr w:type="spellStart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naţionale</w:t>
      </w:r>
      <w:proofErr w:type="spellEnd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nr. </w:t>
      </w:r>
      <w:hyperlink r:id="rId6" w:history="1">
        <w:r w:rsidRPr="0053453D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1/2011</w:t>
        </w:r>
      </w:hyperlink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, precum </w:t>
      </w:r>
      <w:proofErr w:type="spellStart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 altor acte normative</w:t>
      </w:r>
      <w:r w:rsidRPr="0053453D">
        <w:rPr>
          <w:rFonts w:ascii="Verdana" w:eastAsia="Times New Roman" w:hAnsi="Verdana" w:cs="Times New Roman"/>
          <w:lang w:eastAsia="ro-RO"/>
        </w:rPr>
        <w:br/>
      </w:r>
    </w:p>
    <w:p w14:paraId="527A06F1" w14:textId="2A566304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</w:pPr>
      <w:r w:rsidRPr="0053453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lang w:eastAsia="ro-RO"/>
        </w:rPr>
        <w:drawing>
          <wp:inline distT="0" distB="0" distL="0" distR="0" wp14:anchorId="19B1356D" wp14:editId="7DEDE425">
            <wp:extent cx="85725" cy="8572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00_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(la data 22-aug-2020 actul a fost aprobat de </w:t>
      </w:r>
      <w:hyperlink r:id="rId8" w:anchor="do" w:history="1">
        <w:r w:rsidRPr="0053453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lang w:eastAsia="ro-RO"/>
          </w:rPr>
          <w:t>Legea 179/2020</w:t>
        </w:r>
      </w:hyperlink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lang w:eastAsia="ro-RO"/>
        </w:rPr>
        <w:t xml:space="preserve"> )</w:t>
      </w:r>
    </w:p>
    <w:p w14:paraId="2E691AFA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pa1"/>
      <w:bookmarkEnd w:id="0"/>
      <w:r w:rsidRPr="0053453D">
        <w:rPr>
          <w:rFonts w:ascii="Verdana" w:eastAsia="Times New Roman" w:hAnsi="Verdana" w:cs="Times New Roman"/>
          <w:lang w:eastAsia="ro-RO"/>
        </w:rPr>
        <w:t xml:space="preserve">Având în vedere încetarea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instituite din 16 martie 2020 prin Decretul nr. </w:t>
      </w:r>
      <w:hyperlink r:id="rId9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53453D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teritoriul României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prelungită prin Decretul nr. </w:t>
      </w:r>
      <w:hyperlink r:id="rId10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240/2020</w:t>
        </w:r>
      </w:hyperlink>
      <w:r w:rsidRPr="0053453D">
        <w:rPr>
          <w:rFonts w:ascii="Verdana" w:eastAsia="Times New Roman" w:hAnsi="Verdana" w:cs="Times New Roman"/>
          <w:lang w:eastAsia="ro-RO"/>
        </w:rPr>
        <w:t>,</w:t>
      </w:r>
    </w:p>
    <w:p w14:paraId="113CB0FB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2"/>
      <w:bookmarkEnd w:id="1"/>
      <w:r w:rsidRPr="0053453D">
        <w:rPr>
          <w:rFonts w:ascii="Verdana" w:eastAsia="Times New Roman" w:hAnsi="Verdana" w:cs="Times New Roman"/>
          <w:lang w:eastAsia="ro-RO"/>
        </w:rPr>
        <w:t xml:space="preserve">luând în considerare faptul că unele măsuri de sprijin instituite pentru persoane fizice sau juridice nu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vor mai produce efecte odată cu încetarea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>,</w:t>
      </w:r>
    </w:p>
    <w:p w14:paraId="605E3D96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3"/>
      <w:bookmarkEnd w:id="2"/>
      <w:r w:rsidRPr="0053453D">
        <w:rPr>
          <w:rFonts w:ascii="Verdana" w:eastAsia="Times New Roman" w:hAnsi="Verdana" w:cs="Times New Roman"/>
          <w:lang w:eastAsia="ro-RO"/>
        </w:rPr>
        <w:t xml:space="preserve">în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în care în anumite domenii activitatea nu poate fi reluată total sau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parţial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, se impune ca unele măsuri aprobate prin acte normative în perioada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să fie prelungite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după încetarea acesteia.</w:t>
      </w:r>
    </w:p>
    <w:p w14:paraId="1A6D8A5F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4"/>
      <w:bookmarkEnd w:id="3"/>
      <w:proofErr w:type="spellStart"/>
      <w:r w:rsidRPr="0053453D">
        <w:rPr>
          <w:rFonts w:ascii="Verdana" w:eastAsia="Times New Roman" w:hAnsi="Verdana" w:cs="Times New Roman"/>
          <w:lang w:eastAsia="ro-RO"/>
        </w:rPr>
        <w:t>Ţinând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cont de faptul că neluarea unor măsuri urgente, cu caracter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excepţional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, în principalele domenii de activitate din societate, ar aduce grave prejudicii cu efecte pe termen lung asupra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populaţiei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activităţii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economice,</w:t>
      </w:r>
    </w:p>
    <w:p w14:paraId="7762210C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pa5"/>
      <w:bookmarkEnd w:id="4"/>
      <w:r w:rsidRPr="0053453D">
        <w:rPr>
          <w:rFonts w:ascii="Verdana" w:eastAsia="Times New Roman" w:hAnsi="Verdana" w:cs="Times New Roman"/>
          <w:lang w:eastAsia="ro-RO"/>
        </w:rPr>
        <w:t xml:space="preserve">aceste elemente vizează un interes public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constituie o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situaţie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extraordinară, a cărei reglementare nu poate fi amânată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impune adoptarea de măsuri imediate pe calea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ordonanţei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, pentru stabilirea mijloacelor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procedurilor necesare pentru garantarea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siguranţei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personale a unor categorii de persoane afectate de răspândirea coronavirusului SARS-CoV-2.</w:t>
      </w:r>
    </w:p>
    <w:p w14:paraId="0A9AAE97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pa6"/>
      <w:bookmarkEnd w:id="5"/>
      <w:r w:rsidRPr="0053453D">
        <w:rPr>
          <w:rFonts w:ascii="Verdana" w:eastAsia="Times New Roman" w:hAnsi="Verdana" w:cs="Times New Roman"/>
          <w:lang w:eastAsia="ro-RO"/>
        </w:rPr>
        <w:t xml:space="preserve">În temeiul art. 115 alin. (4) din </w:t>
      </w:r>
      <w:hyperlink r:id="rId11" w:tooltip="CONSTITUŢIA ROMÂNIEI - REPUBLICARE (act publicat in M.Of. 767 din 31-oct-2003)" w:history="1">
        <w:proofErr w:type="spellStart"/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Constituţia</w:t>
        </w:r>
        <w:proofErr w:type="spellEnd"/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 xml:space="preserve"> României</w:t>
        </w:r>
      </w:hyperlink>
      <w:r w:rsidRPr="0053453D">
        <w:rPr>
          <w:rFonts w:ascii="Verdana" w:eastAsia="Times New Roman" w:hAnsi="Verdana" w:cs="Times New Roman"/>
          <w:lang w:eastAsia="ro-RO"/>
        </w:rPr>
        <w:t>, republicată,</w:t>
      </w:r>
    </w:p>
    <w:p w14:paraId="6B28999D" w14:textId="77777777" w:rsidR="0053453D" w:rsidRPr="0053453D" w:rsidRDefault="0053453D" w:rsidP="0053453D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pa7"/>
      <w:bookmarkEnd w:id="6"/>
      <w:r w:rsidRPr="0053453D">
        <w:rPr>
          <w:rFonts w:ascii="Verdana" w:eastAsia="Times New Roman" w:hAnsi="Verdana" w:cs="Times New Roman"/>
          <w:b/>
          <w:bCs/>
          <w:lang w:eastAsia="ro-RO"/>
        </w:rPr>
        <w:t>Guvernul României</w:t>
      </w:r>
      <w:r w:rsidRPr="0053453D">
        <w:rPr>
          <w:rFonts w:ascii="Verdana" w:eastAsia="Times New Roman" w:hAnsi="Verdana" w:cs="Times New Roman"/>
          <w:lang w:eastAsia="ro-RO"/>
        </w:rPr>
        <w:t xml:space="preserve"> adoptă prezenta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ordonanţă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>.</w:t>
      </w:r>
    </w:p>
    <w:p w14:paraId="0120E687" w14:textId="0D97887E" w:rsidR="00B76449" w:rsidRDefault="00B76449"/>
    <w:p w14:paraId="095C0C3D" w14:textId="553C1A03" w:rsidR="0053453D" w:rsidRDefault="0053453D">
      <w:r>
        <w:t>………………………………………………………</w:t>
      </w:r>
    </w:p>
    <w:p w14:paraId="5292E4F0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3453D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III:</w:t>
      </w:r>
      <w:r w:rsidRPr="0053453D">
        <w:rPr>
          <w:rFonts w:ascii="Verdana" w:eastAsia="Times New Roman" w:hAnsi="Verdana" w:cs="Times New Roman"/>
          <w:lang w:eastAsia="ro-RO"/>
        </w:rPr>
        <w:t xml:space="preserve"> </w:t>
      </w:r>
      <w:r w:rsidRPr="0053453D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Măsuri privind activitatea Oficiului </w:t>
      </w:r>
      <w:proofErr w:type="spellStart"/>
      <w:r w:rsidRPr="0053453D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Naţional</w:t>
      </w:r>
      <w:proofErr w:type="spellEnd"/>
      <w:r w:rsidRPr="0053453D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al Registrului </w:t>
      </w:r>
      <w:proofErr w:type="spellStart"/>
      <w:r w:rsidRPr="0053453D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Comerţului</w:t>
      </w:r>
      <w:proofErr w:type="spellEnd"/>
      <w:r w:rsidRPr="0053453D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urmare a </w:t>
      </w:r>
      <w:proofErr w:type="spellStart"/>
      <w:r w:rsidRPr="0053453D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evoluţiei</w:t>
      </w:r>
      <w:proofErr w:type="spellEnd"/>
      <w:r w:rsidRPr="0053453D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 xml:space="preserve"> epidemiei cu virusul SARS-CoV-2</w:t>
      </w:r>
    </w:p>
    <w:p w14:paraId="6865BC41" w14:textId="4DB6F64A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caIII|ar26"/>
      <w:r w:rsidRPr="0053453D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74B76A6" wp14:editId="4013ABEA">
            <wp:extent cx="95250" cy="95250"/>
            <wp:effectExtent l="0" t="0" r="0" b="0"/>
            <wp:docPr id="7" name="Imagin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26|_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53453D">
        <w:rPr>
          <w:rFonts w:ascii="Verdana" w:eastAsia="Times New Roman" w:hAnsi="Verdana" w:cs="Times New Roman"/>
          <w:b/>
          <w:bCs/>
          <w:color w:val="0000AF"/>
          <w:lang w:eastAsia="ro-RO"/>
        </w:rPr>
        <w:t>Art. 26</w:t>
      </w:r>
    </w:p>
    <w:p w14:paraId="21F3E720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3453D">
        <w:rPr>
          <w:rFonts w:ascii="Verdana" w:eastAsia="Times New Roman" w:hAnsi="Verdana" w:cs="Times New Roman"/>
          <w:lang w:eastAsia="ro-RO"/>
        </w:rPr>
        <w:t xml:space="preserve">Pe o perioadă de 6 luni de la data încetării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instituite prin Decretul nr. </w:t>
      </w:r>
      <w:hyperlink r:id="rId14" w:tooltip="ABROGATA - privind instituirea stării de urgenţă pe teritoriul României (act publicat in M.Of. 212 din 16-mar-2020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53453D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teritoriul României, prelungite prin Decretul nr. </w:t>
      </w:r>
      <w:hyperlink r:id="rId15" w:tooltip="ABROGATA - privind prelungirea stării de urgenţă pe teritoriul României (act publicat in M.Of. 311 din 14-apr-2020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240/2020</w:t>
        </w:r>
      </w:hyperlink>
      <w:r w:rsidRPr="0053453D">
        <w:rPr>
          <w:rFonts w:ascii="Verdana" w:eastAsia="Times New Roman" w:hAnsi="Verdana" w:cs="Times New Roman"/>
          <w:lang w:eastAsia="ro-RO"/>
        </w:rPr>
        <w:t xml:space="preserve"> privind prelungirea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teritoriul României, activitatea oficiului registrului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se derulează în principal prin mijloace electronice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prin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corespondenţă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, în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condiţiile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legii. Activitatea de lucru cu publicul la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ghişeele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instituţiei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se derulează pe parcursul unui program de lucru de 4 ore,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fracţionat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în două intervale orare, iar în perioada cuprinsă între acestea se dezinfectează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spaţiile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afectate lucrului cu publicul. Accesul publicului se realizează în mod organizat, în limita numărului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ghişeelor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afectate lucrului cu publicul, cu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prezenţa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unei singure persoane la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ghişeu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>.</w:t>
      </w:r>
    </w:p>
    <w:p w14:paraId="6B3CBFBC" w14:textId="77777777" w:rsidR="006D6507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hd w:val="clear" w:color="auto" w:fill="D3D3D3"/>
          <w:lang w:eastAsia="ro-RO"/>
        </w:rPr>
      </w:pPr>
      <w:bookmarkStart w:id="8" w:name="do|caIII|ar26|pa1"/>
      <w:bookmarkEnd w:id="8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*) Potrivit pct. 1 din articolul unic al Legii nr. </w:t>
      </w:r>
      <w:hyperlink r:id="rId16" w:tooltip="pentru aprobarea Ordonanţei de urgenţă a Guvernului nr. 195/2020 privind măsuri în domeniul registrului comerţului (act publicat in M.Of. 715 din 20-iul-2021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206/2021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"Măsurile prevăzute la art. 26-28 din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Ordonanţa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Guvernului nr. 70/2020 privind reglementarea unor măsuri, începând cu data de 15 mai 2020, în contextul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situaţiei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epidemiologice determinate de răspândirea coronavirusului SARS-CoV-2, pentru prelungirea unor termene, pentru modificarea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completarea Legii nr. </w:t>
      </w:r>
      <w:hyperlink r:id="rId17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227/2015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</w:t>
      </w:r>
      <w:hyperlink r:id="rId18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Codul fiscal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a Legii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educaţiei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naţionale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nr. </w:t>
      </w:r>
      <w:hyperlink r:id="rId19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1/2011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precum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altor acte normative, aprobată cu modificări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 prin Legea nr. </w:t>
      </w:r>
      <w:hyperlink r:id="rId20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179/2020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cu modificările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se aplică pe durata stării de alertă, precum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un an după încetarea acesteia."</w:t>
      </w:r>
    </w:p>
    <w:p w14:paraId="24F6847A" w14:textId="14948AEE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3453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65137D2B" wp14:editId="361AAE4E">
            <wp:extent cx="85725" cy="85725"/>
            <wp:effectExtent l="0" t="0" r="9525" b="9525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07_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23-iul-2021 Art. 26 din capitolul III a se vedea </w:t>
      </w:r>
      <w:proofErr w:type="spellStart"/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referinte</w:t>
      </w:r>
      <w:proofErr w:type="spellEnd"/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de aplicare din Art. 1, punctul 1. din </w:t>
      </w:r>
      <w:hyperlink r:id="rId21" w:anchor="do|ar1|pt1" w:tooltip="pentru aprobarea Ordonanţei de urgenţă a Guvernului nr. 195/2020 privind măsuri în domeniul registrului comerţului (act publicat in M.Of. 715 din 20-iul-2021)" w:history="1">
        <w:r w:rsidRPr="0053453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206/2021</w:t>
        </w:r>
      </w:hyperlink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20450B99" w14:textId="43E91123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caIII|ar27"/>
      <w:r w:rsidRPr="0053453D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7B5C3AC" wp14:editId="4C99D0B8">
            <wp:extent cx="95250" cy="95250"/>
            <wp:effectExtent l="0" t="0" r="0" b="0"/>
            <wp:docPr id="5" name="Imagin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27|_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53453D">
        <w:rPr>
          <w:rFonts w:ascii="Verdana" w:eastAsia="Times New Roman" w:hAnsi="Verdana" w:cs="Times New Roman"/>
          <w:b/>
          <w:bCs/>
          <w:color w:val="0000AF"/>
          <w:lang w:eastAsia="ro-RO"/>
        </w:rPr>
        <w:t>Art. 27</w:t>
      </w:r>
    </w:p>
    <w:p w14:paraId="13DAA6CE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3453D">
        <w:rPr>
          <w:rFonts w:ascii="Verdana" w:eastAsia="Times New Roman" w:hAnsi="Verdana" w:cs="Times New Roman"/>
          <w:lang w:eastAsia="ro-RO"/>
        </w:rPr>
        <w:t xml:space="preserve">Pe o perioadă de 6 luni de la data încetării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instituite prin Decretul nr. </w:t>
      </w:r>
      <w:hyperlink r:id="rId22" w:tooltip="ABROGATA - privind instituirea stării de urgenţă pe teritoriul României (act publicat in M.Of. 212 din 16-mar-2020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53453D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teritoriul României, prelungite prin Decretul nr. </w:t>
      </w:r>
      <w:hyperlink r:id="rId23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240/2020</w:t>
        </w:r>
      </w:hyperlink>
      <w:r w:rsidRPr="0053453D">
        <w:rPr>
          <w:rFonts w:ascii="Verdana" w:eastAsia="Times New Roman" w:hAnsi="Verdana" w:cs="Times New Roman"/>
          <w:lang w:eastAsia="ro-RO"/>
        </w:rPr>
        <w:t xml:space="preserve"> privind prelungirea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teritoriul României,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declaraţiile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proprie răspundere care se anexează la cererea de înregistrare/alte cereri pot avea formă de înscris sub semnătură privată ori formă electronică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pot fi transmise la oficiul registrului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fără nicio altă formalitate, prin mijloace electronice, cu semnătura electronică sau prin servicii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poştă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curier.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Declaraţiile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proprie răspundere pot fi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în formă autentică, certificată de avocat sau date la oficiul registrului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>.</w:t>
      </w:r>
    </w:p>
    <w:p w14:paraId="76293CC8" w14:textId="77777777" w:rsidR="006D6507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hd w:val="clear" w:color="auto" w:fill="D3D3D3"/>
          <w:lang w:eastAsia="ro-RO"/>
        </w:rPr>
      </w:pPr>
      <w:bookmarkStart w:id="10" w:name="do|caIII|ar27|pa1"/>
      <w:bookmarkEnd w:id="10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*) Potrivit pct. 1 din articolul unic al Legii nr. </w:t>
      </w:r>
      <w:hyperlink r:id="rId24" w:tooltip="pentru aprobarea Ordonanţei de urgenţă a Guvernului nr. 195/2020 privind măsuri în domeniul registrului comerţului (act publicat in M.Of. 715 din 20-iul-2021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206/2021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"Măsurile prevăzute la art. 26-28 din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Ordonanţa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Guvernului nr. 70/2020 privind reglementarea unor măsuri, începând cu data de 15 mai 2020, în contextul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situaţiei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epidemiologice determinate de răspândirea coronavirusului SARS-CoV-2, pentru prelungirea unor termene, pentru modificarea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completarea Legii nr. </w:t>
      </w:r>
      <w:hyperlink r:id="rId25" w:tooltip="privind Codul fiscal (act publicat in M.Of. 688 din 10-sep-2015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227/2015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</w:t>
      </w:r>
      <w:hyperlink r:id="rId26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Codul fiscal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a Legii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educaţiei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naţionale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nr. </w:t>
      </w:r>
      <w:hyperlink r:id="rId27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1/2011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precum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altor acte normative, aprobată cu modificări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 prin Legea nr. </w:t>
      </w:r>
      <w:hyperlink r:id="rId28" w:tooltip="pentru aprobarea Ordonanţei de urgenţă a Guvernului nr. 70/2020 privind reglementarea unor măsuri, începând cu data de 15 mai 2020, în contextul situaţiei epidemiologice determinate de răspândirea coronavirusului SARS-CoV-2, pentru prelungirea unor termene, pentru modificarea şi completarea Legii nr. 227/2015 privind Codul fiscal, a Legii educaţiei naţionale nr. 1/2011, precum şi a altor acte normative (act publicat in M.Of. 755 din 19-aug-2020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179/2020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cu modificările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se aplică pe durata stării de alertă, precum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un an după încetarea acesteia."</w:t>
      </w:r>
    </w:p>
    <w:p w14:paraId="463DE57B" w14:textId="270DC084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3453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53206A49" wp14:editId="7E33C0D9">
            <wp:extent cx="85725" cy="85725"/>
            <wp:effectExtent l="0" t="0" r="9525" b="9525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07_0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23-iul-2021 Art. 27 din capitolul III a se vedea </w:t>
      </w:r>
      <w:proofErr w:type="spellStart"/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referinte</w:t>
      </w:r>
      <w:proofErr w:type="spellEnd"/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de aplicare din Art. 1, punctul 1. din </w:t>
      </w:r>
      <w:hyperlink r:id="rId29" w:anchor="do|ar1|pt1" w:tooltip="pentru aprobarea Ordonanţei de urgenţă a Guvernului nr. 195/2020 privind măsuri în domeniul registrului comerţului (act publicat in M.Of. 715 din 20-iul-2021)" w:history="1">
        <w:r w:rsidRPr="0053453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206/2021</w:t>
        </w:r>
      </w:hyperlink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4F9985CF" w14:textId="77A35763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caIII|ar28"/>
      <w:r w:rsidRPr="0053453D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D9A5354" wp14:editId="2E330DC0">
            <wp:extent cx="95250" cy="95250"/>
            <wp:effectExtent l="0" t="0" r="0" b="0"/>
            <wp:docPr id="3" name="Imagin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caIII|ar28|_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53453D">
        <w:rPr>
          <w:rFonts w:ascii="Verdana" w:eastAsia="Times New Roman" w:hAnsi="Verdana" w:cs="Times New Roman"/>
          <w:b/>
          <w:bCs/>
          <w:color w:val="0000AF"/>
          <w:lang w:eastAsia="ro-RO"/>
        </w:rPr>
        <w:t>Art. 28</w:t>
      </w:r>
    </w:p>
    <w:p w14:paraId="4FAF4624" w14:textId="77777777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3453D">
        <w:rPr>
          <w:rFonts w:ascii="Verdana" w:eastAsia="Times New Roman" w:hAnsi="Verdana" w:cs="Times New Roman"/>
          <w:lang w:eastAsia="ro-RO"/>
        </w:rPr>
        <w:t xml:space="preserve">Pe o perioadă de 6 luni de la data încetării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instituite prin Decretul nr. </w:t>
      </w:r>
      <w:hyperlink r:id="rId30" w:tooltip="ABROGATA - privind instituirea stării de urgenţă pe teritoriul României (act publicat in M.Of. 212 din 16-mar-2020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195/2020</w:t>
        </w:r>
      </w:hyperlink>
      <w:r w:rsidRPr="0053453D">
        <w:rPr>
          <w:rFonts w:ascii="Verdana" w:eastAsia="Times New Roman" w:hAnsi="Verdana" w:cs="Times New Roman"/>
          <w:lang w:eastAsia="ro-RO"/>
        </w:rPr>
        <w:t xml:space="preserve"> privind instituirea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teritoriul României, prelungite prin Decretul nr. </w:t>
      </w:r>
      <w:hyperlink r:id="rId31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240/2020</w:t>
        </w:r>
      </w:hyperlink>
      <w:r w:rsidRPr="0053453D">
        <w:rPr>
          <w:rFonts w:ascii="Verdana" w:eastAsia="Times New Roman" w:hAnsi="Verdana" w:cs="Times New Roman"/>
          <w:lang w:eastAsia="ro-RO"/>
        </w:rPr>
        <w:t xml:space="preserve"> privind prelungirea stării de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pe teritoriul României, specimenul de semnătură, acolo unde legea prevede, se transmite la oficiul registrul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 xml:space="preserve"> legalizat de notarul public sau certificat de avocat ori sub forma unui înscris sub semnătură privată, fără nicio altă formalitate sau se poate da la oficiul registrului </w:t>
      </w:r>
      <w:proofErr w:type="spellStart"/>
      <w:r w:rsidRPr="0053453D">
        <w:rPr>
          <w:rFonts w:ascii="Verdana" w:eastAsia="Times New Roman" w:hAnsi="Verdana" w:cs="Times New Roman"/>
          <w:lang w:eastAsia="ro-RO"/>
        </w:rPr>
        <w:t>comerţului</w:t>
      </w:r>
      <w:proofErr w:type="spellEnd"/>
      <w:r w:rsidRPr="0053453D">
        <w:rPr>
          <w:rFonts w:ascii="Verdana" w:eastAsia="Times New Roman" w:hAnsi="Verdana" w:cs="Times New Roman"/>
          <w:lang w:eastAsia="ro-RO"/>
        </w:rPr>
        <w:t>.</w:t>
      </w:r>
    </w:p>
    <w:p w14:paraId="1B8E3208" w14:textId="77777777" w:rsidR="006D6507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hd w:val="clear" w:color="auto" w:fill="D3D3D3"/>
          <w:lang w:eastAsia="ro-RO"/>
        </w:rPr>
      </w:pPr>
      <w:bookmarkStart w:id="12" w:name="do|caIII|ar28|pa1"/>
      <w:bookmarkEnd w:id="12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*) Potrivit pct. 1 din articolul unic al Legii nr. </w:t>
      </w:r>
      <w:hyperlink r:id="rId32" w:tooltip="pentru aprobarea Ordonanţei de urgenţă a Guvernului nr. 195/2020 privind măsuri în domeniul registrului comerţului (act publicat in M.Of. 715 din 20-iul-2021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206/2021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"Măsurile prevăzute la art. 26-28 din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Ordonanţa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de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urgenţă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Guvernului nr. 70/2020 privind reglementarea unor măsuri, începând cu data de 15 mai 2020, în contextul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situaţiei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epidemiologice determinate de răspândirea coronavirusului SARS-CoV-2, pentru prelungirea unor termene, pentru modificarea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completarea Legii nr. </w:t>
      </w:r>
      <w:hyperlink r:id="rId33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227/2015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privind </w:t>
      </w:r>
      <w:hyperlink r:id="rId34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Codul fiscal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a Legii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educaţiei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naţionale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nr. </w:t>
      </w:r>
      <w:hyperlink r:id="rId35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1/2011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precum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a altor acte normative, aprobată cu modificări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 prin Legea nr. </w:t>
      </w:r>
      <w:hyperlink r:id="rId36" w:tooltip="pentru aprobarea Ordonanţei de urgenţă a Guvernului nr. 70/2020 privind reglementarea unor măsuri, începând cu data de 15 mai 2020, în contextul situaţiei epidemiologice determinate de răspândirea coronavirusului SARS-CoV-2, pentru prelungirea unor termene, pentru modificarea şi completarea Legii nr. 227/2015 privind Codul fiscal, a Legii educaţiei naţionale nr. 1/2011, precum şi a altor acte normative (act publicat in M.Of. 755 din 19-aug-2020)" w:history="1">
        <w:r w:rsidRPr="0053453D">
          <w:rPr>
            <w:rFonts w:ascii="Verdana" w:eastAsia="Times New Roman" w:hAnsi="Verdana" w:cs="Times New Roman"/>
            <w:b/>
            <w:bCs/>
            <w:color w:val="333399"/>
            <w:u w:val="single"/>
            <w:shd w:val="clear" w:color="auto" w:fill="D3D3D3"/>
            <w:lang w:eastAsia="ro-RO"/>
          </w:rPr>
          <w:t>179/2020</w:t>
        </w:r>
      </w:hyperlink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, cu modificările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completările ulterioare, se aplică pe durata stării de alertă, precum </w:t>
      </w:r>
      <w:proofErr w:type="spellStart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>şi</w:t>
      </w:r>
      <w:proofErr w:type="spellEnd"/>
      <w:r w:rsidRPr="0053453D">
        <w:rPr>
          <w:rFonts w:ascii="Verdana" w:eastAsia="Times New Roman" w:hAnsi="Verdana" w:cs="Times New Roman"/>
          <w:shd w:val="clear" w:color="auto" w:fill="D3D3D3"/>
          <w:lang w:eastAsia="ro-RO"/>
        </w:rPr>
        <w:t xml:space="preserve"> un an după încetarea acesteia."</w:t>
      </w:r>
    </w:p>
    <w:p w14:paraId="1222BB28" w14:textId="5A2D6BD2" w:rsidR="0053453D" w:rsidRPr="0053453D" w:rsidRDefault="0053453D" w:rsidP="0053453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53453D"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  <w:lang w:eastAsia="ro-RO"/>
        </w:rPr>
        <w:drawing>
          <wp:inline distT="0" distB="0" distL="0" distR="0" wp14:anchorId="447B8B11" wp14:editId="6875DFA9">
            <wp:extent cx="85725" cy="85725"/>
            <wp:effectExtent l="0" t="0" r="9525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07_0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(la data 23-iul-2021 Art. 28 din capitolul III a se vedea </w:t>
      </w:r>
      <w:proofErr w:type="spellStart"/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>referinte</w:t>
      </w:r>
      <w:proofErr w:type="spellEnd"/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de aplicare din Art. 1, punctul 1. din </w:t>
      </w:r>
      <w:hyperlink r:id="rId37" w:anchor="do|ar1|pt1" w:tooltip="pentru aprobarea Ordonanţei de urgenţă a Guvernului nr. 195/2020 privind măsuri în domeniul registrului comerţului (act publicat in M.Of. 715 din 20-iul-2021)" w:history="1">
        <w:r w:rsidRPr="0053453D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szCs w:val="18"/>
            <w:u w:val="single"/>
            <w:shd w:val="clear" w:color="auto" w:fill="FFFFFF"/>
            <w:lang w:eastAsia="ro-RO"/>
          </w:rPr>
          <w:t>Legea 206/2021</w:t>
        </w:r>
      </w:hyperlink>
      <w:r w:rsidRPr="0053453D">
        <w:rPr>
          <w:rFonts w:ascii="Verdana" w:eastAsia="Times New Roman" w:hAnsi="Verdana" w:cs="Times New Roman"/>
          <w:i/>
          <w:iCs/>
          <w:color w:val="6666FF"/>
          <w:sz w:val="18"/>
          <w:szCs w:val="18"/>
          <w:shd w:val="clear" w:color="auto" w:fill="FFFFFF"/>
          <w:lang w:eastAsia="ro-RO"/>
        </w:rPr>
        <w:t xml:space="preserve"> )</w:t>
      </w:r>
    </w:p>
    <w:p w14:paraId="7DBECA17" w14:textId="77777777" w:rsidR="0053453D" w:rsidRDefault="0053453D"/>
    <w:sectPr w:rsidR="0053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222C"/>
    <w:rsid w:val="00021ED8"/>
    <w:rsid w:val="001C7157"/>
    <w:rsid w:val="0037222C"/>
    <w:rsid w:val="0053453D"/>
    <w:rsid w:val="006D6507"/>
    <w:rsid w:val="007A68E0"/>
    <w:rsid w:val="00B76449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5E6E"/>
  <w15:chartTrackingRefBased/>
  <w15:docId w15:val="{41F26BDE-4198-44E2-AB62-EF5BF50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3453D"/>
    <w:rPr>
      <w:b/>
      <w:bCs/>
      <w:color w:val="333399"/>
      <w:u w:val="single"/>
    </w:rPr>
  </w:style>
  <w:style w:type="character" w:customStyle="1" w:styleId="do1">
    <w:name w:val="do1"/>
    <w:basedOn w:val="Fontdeparagrafimplicit"/>
    <w:rsid w:val="0053453D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53453D"/>
  </w:style>
  <w:style w:type="character" w:customStyle="1" w:styleId="ca1">
    <w:name w:val="ca1"/>
    <w:basedOn w:val="Fontdeparagrafimplicit"/>
    <w:rsid w:val="0053453D"/>
    <w:rPr>
      <w:b/>
      <w:bCs/>
      <w:color w:val="005F00"/>
      <w:sz w:val="24"/>
      <w:szCs w:val="24"/>
    </w:rPr>
  </w:style>
  <w:style w:type="character" w:customStyle="1" w:styleId="tca1">
    <w:name w:val="tca1"/>
    <w:basedOn w:val="Fontdeparagrafimplicit"/>
    <w:rsid w:val="0053453D"/>
    <w:rPr>
      <w:b/>
      <w:bCs/>
      <w:sz w:val="24"/>
      <w:szCs w:val="24"/>
    </w:rPr>
  </w:style>
  <w:style w:type="character" w:customStyle="1" w:styleId="ar1">
    <w:name w:val="ar1"/>
    <w:basedOn w:val="Fontdeparagrafimplicit"/>
    <w:rsid w:val="0053453D"/>
    <w:rPr>
      <w:b/>
      <w:bCs/>
      <w:color w:val="0000AF"/>
      <w:sz w:val="22"/>
      <w:szCs w:val="22"/>
    </w:rPr>
  </w:style>
  <w:style w:type="character" w:customStyle="1" w:styleId="lego1">
    <w:name w:val="lego1"/>
    <w:basedOn w:val="Fontdeparagrafimplicit"/>
    <w:rsid w:val="0053453D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9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014938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077712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1673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22356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528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37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628886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8865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08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74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638506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95803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34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90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9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391682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625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5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421694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30489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740019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96153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8260727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6737105">
                  <w:marLeft w:val="0"/>
                  <w:marRight w:val="0"/>
                  <w:marTop w:val="0"/>
                  <w:marBottom w:val="0"/>
                  <w:divBdr>
                    <w:top w:val="dashed" w:sz="2" w:space="0" w:color="666666"/>
                    <w:left w:val="dashed" w:sz="2" w:space="0" w:color="666666"/>
                    <w:bottom w:val="dashed" w:sz="2" w:space="0" w:color="666666"/>
                    <w:right w:val="dashed" w:sz="2" w:space="0" w:color="66666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file:///C:\Users\user\sintact%204.0\cache\Legislatie\temp68344\00172816.htm" TargetMode="External"/><Relationship Id="rId26" Type="http://schemas.openxmlformats.org/officeDocument/2006/relationships/hyperlink" Target="file:///C:\Users\user\sintact%204.0\cache\Legislatie\temp68344\00172816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\Users\user\sintact%204.0\cache\Legislatie\temp68344\00223607.htm" TargetMode="External"/><Relationship Id="rId34" Type="http://schemas.openxmlformats.org/officeDocument/2006/relationships/hyperlink" Target="file:///C:\Users\user\sintact%204.0\cache\Legislatie\temp68344\00172816.htm" TargetMode="External"/><Relationship Id="rId7" Type="http://schemas.openxmlformats.org/officeDocument/2006/relationships/image" Target="media/image1.gif"/><Relationship Id="rId12" Type="http://schemas.openxmlformats.org/officeDocument/2006/relationships/hyperlink" Target="file:///C:\Users\user\sintact%204.0\cache\Legislatie\temp68344\00209443.HTML" TargetMode="External"/><Relationship Id="rId17" Type="http://schemas.openxmlformats.org/officeDocument/2006/relationships/hyperlink" Target="file:///C:\Users\user\sintact%204.0\cache\Legislatie\temp68344\00172813.htm" TargetMode="External"/><Relationship Id="rId25" Type="http://schemas.openxmlformats.org/officeDocument/2006/relationships/hyperlink" Target="file:///C:\Users\user\sintact%204.0\cache\Legislatie\temp68344\00172813.htm" TargetMode="External"/><Relationship Id="rId33" Type="http://schemas.openxmlformats.org/officeDocument/2006/relationships/hyperlink" Target="file:///C:\Users\user\sintact%204.0\cache\Legislatie\temp68344\00172813.ht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sintact%204.0\cache\Legislatie\temp68344\00223607.htm" TargetMode="External"/><Relationship Id="rId20" Type="http://schemas.openxmlformats.org/officeDocument/2006/relationships/hyperlink" Target="file:///C:\Users\user\sintact%204.0\cache\Legislatie\temp68344\00211800.htm" TargetMode="External"/><Relationship Id="rId29" Type="http://schemas.openxmlformats.org/officeDocument/2006/relationships/hyperlink" Target="file:///C:\Users\user\sintact%204.0\cache\Legislatie\temp68344\00223607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68344\00137318.htm" TargetMode="External"/><Relationship Id="rId11" Type="http://schemas.openxmlformats.org/officeDocument/2006/relationships/hyperlink" Target="file:///C:\Users\user\sintact%204.0\cache\Legislatie\temp68344\00068397.htm" TargetMode="External"/><Relationship Id="rId24" Type="http://schemas.openxmlformats.org/officeDocument/2006/relationships/hyperlink" Target="file:///C:\Users\user\sintact%204.0\cache\Legislatie\temp68344\00223607.htm" TargetMode="External"/><Relationship Id="rId32" Type="http://schemas.openxmlformats.org/officeDocument/2006/relationships/hyperlink" Target="file:///C:\Users\user\sintact%204.0\cache\Legislatie\temp68344\00223607.htm" TargetMode="External"/><Relationship Id="rId37" Type="http://schemas.openxmlformats.org/officeDocument/2006/relationships/hyperlink" Target="file:///C:\Users\user\sintact%204.0\cache\Legislatie\temp68344\00223607.htm" TargetMode="External"/><Relationship Id="rId5" Type="http://schemas.openxmlformats.org/officeDocument/2006/relationships/hyperlink" Target="file:///C:\Users\user\sintact%204.0\cache\Legislatie\temp68344\00172816.htm" TargetMode="External"/><Relationship Id="rId15" Type="http://schemas.openxmlformats.org/officeDocument/2006/relationships/hyperlink" Target="file:///C:\Users\user\sintact%204.0\cache\Legislatie\temp68344\00208922.htm" TargetMode="External"/><Relationship Id="rId23" Type="http://schemas.openxmlformats.org/officeDocument/2006/relationships/hyperlink" Target="file:///C:\Users\user\sintact%204.0\cache\Legislatie\temp68344\00208922.htm" TargetMode="External"/><Relationship Id="rId28" Type="http://schemas.openxmlformats.org/officeDocument/2006/relationships/hyperlink" Target="file:///C:\Users\user\sintact%204.0\cache\Legislatie\temp68344\00211800.htm" TargetMode="External"/><Relationship Id="rId36" Type="http://schemas.openxmlformats.org/officeDocument/2006/relationships/hyperlink" Target="file:///C:\Users\user\sintact%204.0\cache\Legislatie\temp68344\00211800.htm" TargetMode="External"/><Relationship Id="rId10" Type="http://schemas.openxmlformats.org/officeDocument/2006/relationships/hyperlink" Target="file:///C:\Users\user\sintact%204.0\cache\Legislatie\temp68344\00208922.htm" TargetMode="External"/><Relationship Id="rId19" Type="http://schemas.openxmlformats.org/officeDocument/2006/relationships/hyperlink" Target="file:///C:\Users\user\sintact%204.0\cache\Legislatie\temp68344\00137318.htm" TargetMode="External"/><Relationship Id="rId31" Type="http://schemas.openxmlformats.org/officeDocument/2006/relationships/hyperlink" Target="file:///C:\Users\user\sintact%204.0\cache\Legislatie\temp68344\00208922.htm" TargetMode="External"/><Relationship Id="rId4" Type="http://schemas.openxmlformats.org/officeDocument/2006/relationships/hyperlink" Target="file:///C:\Users\user\sintact%204.0\cache\Legislatie\temp68344\00172813.htm" TargetMode="External"/><Relationship Id="rId9" Type="http://schemas.openxmlformats.org/officeDocument/2006/relationships/hyperlink" Target="file:///C:\Users\user\sintact%204.0\cache\Legislatie\temp68344\00208236.htm" TargetMode="External"/><Relationship Id="rId14" Type="http://schemas.openxmlformats.org/officeDocument/2006/relationships/hyperlink" Target="file:///C:\Users\user\sintact%204.0\cache\Legislatie\temp68344\00208236.htm" TargetMode="External"/><Relationship Id="rId22" Type="http://schemas.openxmlformats.org/officeDocument/2006/relationships/hyperlink" Target="file:///C:\Users\user\sintact%204.0\cache\Legislatie\temp68344\00208236.htm" TargetMode="External"/><Relationship Id="rId27" Type="http://schemas.openxmlformats.org/officeDocument/2006/relationships/hyperlink" Target="file:///C:\Users\user\sintact%204.0\cache\Legislatie\temp68344\00137318.htm" TargetMode="External"/><Relationship Id="rId30" Type="http://schemas.openxmlformats.org/officeDocument/2006/relationships/hyperlink" Target="file:///C:\Users\user\sintact%204.0\cache\Legislatie\temp68344\00208236.htm" TargetMode="External"/><Relationship Id="rId35" Type="http://schemas.openxmlformats.org/officeDocument/2006/relationships/hyperlink" Target="file:///C:\Users\user\sintact%204.0\cache\Legislatie\temp68344\00137318.htm" TargetMode="External"/><Relationship Id="rId8" Type="http://schemas.openxmlformats.org/officeDocument/2006/relationships/hyperlink" Target="file:///C:\Users\user\sintact%204.0\cache\Legislatie\temp68344\00211800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1779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</dc:creator>
  <cp:keywords/>
  <dc:description/>
  <cp:lastModifiedBy>Maria Stan</cp:lastModifiedBy>
  <cp:revision>6</cp:revision>
  <cp:lastPrinted>2022-03-08T11:58:00Z</cp:lastPrinted>
  <dcterms:created xsi:type="dcterms:W3CDTF">2022-03-08T11:51:00Z</dcterms:created>
  <dcterms:modified xsi:type="dcterms:W3CDTF">2022-03-08T11:58:00Z</dcterms:modified>
</cp:coreProperties>
</file>